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B0" w:rsidRDefault="00AA3DB0" w:rsidP="001B6F00">
      <w:pPr>
        <w:pStyle w:val="Sansinterligne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Université Ibn Khaldoun. Tiaret                                                                                </w:t>
      </w:r>
      <w:r w:rsidR="00061523">
        <w:rPr>
          <w:rFonts w:asciiTheme="majorBidi" w:hAnsiTheme="majorBidi" w:cstheme="majorBidi"/>
          <w:b/>
          <w:bCs/>
          <w:sz w:val="20"/>
          <w:szCs w:val="20"/>
        </w:rPr>
        <w:t xml:space="preserve">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 w:rsidR="001B6F00">
        <w:rPr>
          <w:rFonts w:asciiTheme="majorBidi" w:hAnsiTheme="majorBidi" w:cstheme="majorBidi"/>
          <w:b/>
          <w:bCs/>
          <w:sz w:val="20"/>
          <w:szCs w:val="20"/>
        </w:rPr>
        <w:t>Janvier  2023</w:t>
      </w:r>
      <w:proofErr w:type="gramEnd"/>
      <w:r w:rsidR="001B6F00">
        <w:rPr>
          <w:rFonts w:asciiTheme="majorBidi" w:hAnsiTheme="majorBidi" w:cstheme="majorBidi"/>
          <w:b/>
          <w:bCs/>
          <w:sz w:val="20"/>
          <w:szCs w:val="20"/>
        </w:rPr>
        <w:t>/2024</w:t>
      </w:r>
    </w:p>
    <w:p w:rsidR="00AA3DB0" w:rsidRDefault="00AA3DB0" w:rsidP="00AA3DB0">
      <w:pPr>
        <w:pStyle w:val="Sansinterligne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Faculté des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SNV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-   Département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SNV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DB0" w:rsidRDefault="00AA3DB0" w:rsidP="00AA3DB0">
      <w:pPr>
        <w:pStyle w:val="Sansinterligne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Promotion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3</w:t>
      </w:r>
      <w:r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e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année Licence Parasitologie</w:t>
      </w:r>
      <w:r w:rsidR="00061523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</w:p>
    <w:p w:rsidR="00AA3DB0" w:rsidRDefault="00AA3DB0" w:rsidP="00AA3DB0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A3DB0" w:rsidRDefault="00BB4E69" w:rsidP="00BB4E69">
      <w:pPr>
        <w:pStyle w:val="Sansinterligne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Corrigé type de l’e</w:t>
      </w:r>
      <w:r w:rsidR="00C24FF2" w:rsidRPr="00612546">
        <w:rPr>
          <w:rFonts w:asciiTheme="majorBidi" w:hAnsiTheme="majorBidi" w:cstheme="majorBidi"/>
          <w:b/>
          <w:bCs/>
          <w:sz w:val="30"/>
          <w:szCs w:val="30"/>
        </w:rPr>
        <w:t>x</w:t>
      </w:r>
      <w:r w:rsidR="00AA3DB0" w:rsidRPr="00612546">
        <w:rPr>
          <w:rFonts w:asciiTheme="majorBidi" w:hAnsiTheme="majorBidi" w:cstheme="majorBidi"/>
          <w:b/>
          <w:bCs/>
          <w:sz w:val="30"/>
          <w:szCs w:val="30"/>
        </w:rPr>
        <w:t>amen de virologie fondamentale</w:t>
      </w:r>
    </w:p>
    <w:p w:rsidR="00061523" w:rsidRPr="00612546" w:rsidRDefault="00061523" w:rsidP="00AA3DB0">
      <w:pPr>
        <w:pStyle w:val="Sansinterligne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6"/>
        <w:gridCol w:w="548"/>
        <w:gridCol w:w="460"/>
        <w:gridCol w:w="406"/>
        <w:gridCol w:w="504"/>
        <w:gridCol w:w="331"/>
        <w:gridCol w:w="425"/>
        <w:gridCol w:w="1367"/>
        <w:gridCol w:w="497"/>
        <w:gridCol w:w="530"/>
        <w:gridCol w:w="441"/>
        <w:gridCol w:w="592"/>
        <w:gridCol w:w="349"/>
        <w:gridCol w:w="426"/>
      </w:tblGrid>
      <w:tr w:rsidR="00AA3DB0" w:rsidRPr="00B74E5F" w:rsidTr="00C945D3">
        <w:trPr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QCM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Réponses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QCM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 xml:space="preserve">Réponses </w:t>
            </w:r>
          </w:p>
        </w:tc>
      </w:tr>
      <w:tr w:rsidR="00AA3DB0" w:rsidRPr="00B74E5F" w:rsidTr="00C945D3">
        <w:trPr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3DB0" w:rsidRPr="00B74E5F" w:rsidRDefault="00AA3DB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A3DB0" w:rsidRPr="00B74E5F" w:rsidRDefault="00AA3DB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</w:tr>
      <w:tr w:rsidR="00AA3DB0" w:rsidRPr="00B74E5F" w:rsidTr="00C945D3">
        <w:trPr>
          <w:jc w:val="center"/>
        </w:trPr>
        <w:tc>
          <w:tcPr>
            <w:tcW w:w="124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DB0" w:rsidRPr="00B74E5F" w:rsidRDefault="00AA3DB0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1</w:t>
            </w:r>
            <w:r w:rsidR="00BB4E69">
              <w:rPr>
                <w:rFonts w:asciiTheme="majorBidi" w:hAnsiTheme="majorBidi" w:cstheme="majorBidi"/>
                <w:b/>
                <w:bCs/>
              </w:rPr>
              <w:t>(0.25)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DB0" w:rsidRPr="00B74E5F" w:rsidRDefault="005278B0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6</w:t>
            </w:r>
            <w:r w:rsidR="00BB4E69">
              <w:rPr>
                <w:rFonts w:asciiTheme="majorBidi" w:hAnsiTheme="majorBidi" w:cstheme="majorBidi"/>
                <w:b/>
                <w:bCs/>
              </w:rPr>
              <w:t xml:space="preserve"> (0.25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x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3)</w:t>
            </w:r>
          </w:p>
        </w:tc>
        <w:tc>
          <w:tcPr>
            <w:tcW w:w="4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</w:tr>
      <w:tr w:rsidR="00AA3DB0" w:rsidRPr="00B74E5F" w:rsidTr="00C945D3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DB0" w:rsidRPr="00B74E5F" w:rsidRDefault="00AA3DB0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2</w:t>
            </w:r>
            <w:r w:rsidR="00BB4E69">
              <w:rPr>
                <w:rFonts w:asciiTheme="majorBidi" w:hAnsiTheme="majorBidi" w:cstheme="majorBidi"/>
                <w:b/>
                <w:bCs/>
              </w:rPr>
              <w:t>(0.25)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DB0" w:rsidRPr="00B74E5F" w:rsidRDefault="005278B0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7</w:t>
            </w:r>
            <w:r w:rsidR="00BB4E69">
              <w:rPr>
                <w:rFonts w:asciiTheme="majorBidi" w:hAnsiTheme="majorBidi" w:cstheme="majorBidi"/>
                <w:b/>
                <w:bCs/>
              </w:rPr>
              <w:t xml:space="preserve"> (0.25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x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2)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</w:tr>
      <w:tr w:rsidR="00AA3DB0" w:rsidRPr="00B74E5F" w:rsidTr="00C945D3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DB0" w:rsidRPr="00B74E5F" w:rsidRDefault="00AA3DB0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3</w:t>
            </w:r>
            <w:r w:rsidR="00BB4E69">
              <w:rPr>
                <w:rFonts w:asciiTheme="majorBidi" w:hAnsiTheme="majorBidi" w:cstheme="majorBidi"/>
                <w:b/>
                <w:bCs/>
              </w:rPr>
              <w:t xml:space="preserve"> (0.25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x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02EB">
              <w:rPr>
                <w:rFonts w:asciiTheme="majorBidi" w:hAnsiTheme="majorBidi" w:cstheme="majorBidi"/>
                <w:b/>
                <w:bCs/>
              </w:rPr>
              <w:t>2</w:t>
            </w:r>
            <w:r w:rsidR="00BB4E69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3DB0" w:rsidRPr="00B74E5F" w:rsidRDefault="005278B0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8</w:t>
            </w:r>
            <w:r w:rsidR="00BB4E69">
              <w:rPr>
                <w:rFonts w:asciiTheme="majorBidi" w:hAnsiTheme="majorBidi" w:cstheme="majorBidi"/>
                <w:b/>
                <w:bCs/>
              </w:rPr>
              <w:t xml:space="preserve"> (0.25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x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2)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</w:tr>
      <w:tr w:rsidR="00AA3DB0" w:rsidRPr="00B74E5F" w:rsidTr="00C945D3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DB0" w:rsidRPr="00B74E5F" w:rsidRDefault="005278B0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5</w:t>
            </w:r>
            <w:r w:rsidR="00BB4E69">
              <w:rPr>
                <w:rFonts w:asciiTheme="majorBidi" w:hAnsiTheme="majorBidi" w:cstheme="majorBidi"/>
                <w:b/>
                <w:bCs/>
              </w:rPr>
              <w:t xml:space="preserve"> (0.25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x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2)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3DB0" w:rsidRPr="00B74E5F" w:rsidRDefault="00B74E5F" w:rsidP="00DF6B4A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B74E5F">
              <w:rPr>
                <w:rFonts w:asciiTheme="majorBidi" w:hAnsiTheme="majorBidi" w:cstheme="majorBidi"/>
                <w:b/>
                <w:bCs/>
              </w:rPr>
              <w:t>10</w:t>
            </w:r>
            <w:r w:rsidR="00BB4E69">
              <w:rPr>
                <w:rFonts w:asciiTheme="majorBidi" w:hAnsiTheme="majorBidi" w:cstheme="majorBidi"/>
                <w:b/>
                <w:bCs/>
              </w:rPr>
              <w:t xml:space="preserve"> (0.25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x</w:t>
            </w:r>
            <w:r w:rsidR="00C945D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4E69">
              <w:rPr>
                <w:rFonts w:asciiTheme="majorBidi" w:hAnsiTheme="majorBidi" w:cstheme="majorBidi"/>
                <w:b/>
                <w:bCs/>
              </w:rPr>
              <w:t>3)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DF6B4A" w:rsidRDefault="00BB4E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6B4A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DF6B4A" w:rsidRDefault="00AA3DB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A3DB0" w:rsidRPr="00B74E5F" w:rsidRDefault="00AA3DB0">
            <w:pPr>
              <w:pStyle w:val="Sansinterligne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</w:tr>
    </w:tbl>
    <w:p w:rsidR="00AA3DB0" w:rsidRDefault="00AA3DB0" w:rsidP="00AA3DB0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A3DB0" w:rsidRDefault="002845D3" w:rsidP="006014C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L</w:t>
      </w:r>
      <w:r w:rsidR="00BF2D1F">
        <w:rPr>
          <w:rFonts w:asciiTheme="majorBidi" w:hAnsiTheme="majorBidi" w:cstheme="majorBidi"/>
          <w:b/>
          <w:bCs/>
          <w:sz w:val="18"/>
          <w:szCs w:val="18"/>
        </w:rPr>
        <w:t>es virus 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sont </w:t>
      </w:r>
      <w:r w:rsidR="004118D7">
        <w:rPr>
          <w:rFonts w:asciiTheme="majorBidi" w:hAnsiTheme="majorBidi" w:cstheme="majorBidi"/>
          <w:b/>
          <w:bCs/>
          <w:sz w:val="18"/>
          <w:szCs w:val="18"/>
        </w:rPr>
        <w:t xml:space="preserve">des </w:t>
      </w:r>
      <w:proofErr w:type="gramStart"/>
      <w:r w:rsidR="00BF2D1F">
        <w:rPr>
          <w:rFonts w:asciiTheme="majorBidi" w:hAnsiTheme="majorBidi" w:cstheme="majorBidi"/>
          <w:b/>
          <w:bCs/>
          <w:sz w:val="18"/>
          <w:szCs w:val="18"/>
        </w:rPr>
        <w:t xml:space="preserve">:  </w:t>
      </w:r>
      <w:r w:rsidR="00DE5FA7">
        <w:rPr>
          <w:rFonts w:asciiTheme="majorBidi" w:hAnsiTheme="majorBidi" w:cstheme="majorBidi"/>
          <w:b/>
          <w:bCs/>
          <w:sz w:val="18"/>
          <w:szCs w:val="18"/>
        </w:rPr>
        <w:t>(</w:t>
      </w:r>
      <w:proofErr w:type="gramEnd"/>
      <w:r w:rsidR="00DE5FA7">
        <w:rPr>
          <w:rFonts w:asciiTheme="majorBidi" w:hAnsiTheme="majorBidi" w:cstheme="majorBidi"/>
          <w:b/>
          <w:bCs/>
          <w:sz w:val="18"/>
          <w:szCs w:val="18"/>
        </w:rPr>
        <w:t>0.25)</w:t>
      </w:r>
    </w:p>
    <w:p w:rsidR="009866BB" w:rsidRPr="009866BB" w:rsidRDefault="004118D7" w:rsidP="00AA3DB0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M</w:t>
      </w:r>
      <w:r w:rsidR="009866BB">
        <w:rPr>
          <w:rFonts w:asciiTheme="majorBidi" w:hAnsiTheme="majorBidi" w:cstheme="majorBidi"/>
          <w:b/>
          <w:bCs/>
          <w:sz w:val="18"/>
          <w:szCs w:val="18"/>
        </w:rPr>
        <w:t>icro</w:t>
      </w:r>
      <w:r w:rsidR="0074410F">
        <w:rPr>
          <w:rFonts w:asciiTheme="majorBidi" w:hAnsiTheme="majorBidi" w:cstheme="majorBidi"/>
          <w:b/>
          <w:bCs/>
          <w:sz w:val="18"/>
          <w:szCs w:val="18"/>
        </w:rPr>
        <w:t>-</w:t>
      </w:r>
      <w:r w:rsidR="009866BB">
        <w:rPr>
          <w:rFonts w:asciiTheme="majorBidi" w:hAnsiTheme="majorBidi" w:cstheme="majorBidi"/>
          <w:b/>
          <w:bCs/>
          <w:sz w:val="18"/>
          <w:szCs w:val="18"/>
        </w:rPr>
        <w:t xml:space="preserve">organismes </w:t>
      </w:r>
      <w:r w:rsidR="0074410F">
        <w:rPr>
          <w:rFonts w:asciiTheme="majorBidi" w:hAnsiTheme="majorBidi" w:cstheme="majorBidi"/>
          <w:b/>
          <w:bCs/>
          <w:sz w:val="18"/>
          <w:szCs w:val="18"/>
        </w:rPr>
        <w:t xml:space="preserve">eucaryotes </w:t>
      </w:r>
    </w:p>
    <w:p w:rsidR="004118D7" w:rsidRPr="004118D7" w:rsidRDefault="0074410F" w:rsidP="00AA3DB0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Agents </w:t>
      </w:r>
      <w:r w:rsidR="00902BEA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infectieux nécessita</w:t>
      </w: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nt un hôte</w:t>
      </w:r>
      <w:r w:rsidR="00C52654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, sont constitués de l’ADN et de l’ARN</w:t>
      </w:r>
    </w:p>
    <w:p w:rsidR="00AA3DB0" w:rsidRDefault="00EC44D3" w:rsidP="00C52654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Possèdent ses propres constituants et machineries pour se répliquer</w:t>
      </w:r>
    </w:p>
    <w:p w:rsidR="00AA3DB0" w:rsidRPr="00C945D3" w:rsidRDefault="00671904" w:rsidP="0067190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</w:pPr>
      <w:r w:rsidRPr="00C945D3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 xml:space="preserve">Possèdent un grand éventail d’infection : procaryotes, plantes, homme et </w:t>
      </w:r>
      <w:proofErr w:type="gramStart"/>
      <w:r w:rsidRPr="00C945D3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>animal</w:t>
      </w:r>
      <w:r w:rsidR="00C52654" w:rsidRPr="00C945D3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>,…</w:t>
      </w:r>
      <w:proofErr w:type="gramEnd"/>
      <w:r w:rsidRPr="00C945D3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 xml:space="preserve"> </w:t>
      </w:r>
    </w:p>
    <w:p w:rsidR="00BF2D1F" w:rsidRDefault="00BF2D1F" w:rsidP="00BF2D1F">
      <w:pPr>
        <w:pStyle w:val="Paragraphedeliste"/>
        <w:shd w:val="clear" w:color="auto" w:fill="FFFFFF"/>
        <w:spacing w:after="0" w:line="240" w:lineRule="auto"/>
        <w:ind w:left="1004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</w:p>
    <w:p w:rsidR="00BF2D1F" w:rsidRDefault="00BF2D1F" w:rsidP="00BF2D1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La structure des virus : </w:t>
      </w:r>
      <w:r w:rsidR="00DE5FA7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(0. 25)</w:t>
      </w:r>
    </w:p>
    <w:p w:rsidR="00F442CE" w:rsidRDefault="00E827F2" w:rsidP="00F442CE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ind w:left="993" w:hanging="372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 w:rsidRPr="00E827F2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Tous les virus sont enveloppés </w:t>
      </w:r>
    </w:p>
    <w:p w:rsidR="00E827F2" w:rsidRPr="002B00FC" w:rsidRDefault="00E827F2" w:rsidP="00F442CE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ind w:left="993" w:hanging="372"/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</w:pPr>
      <w:r w:rsidRPr="002B00FC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>La nucléocapside est formée de l’association du génome et de la capside</w:t>
      </w:r>
    </w:p>
    <w:p w:rsidR="008014D9" w:rsidRPr="00E827F2" w:rsidRDefault="001F00F8" w:rsidP="001F00F8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ind w:left="993" w:hanging="372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Tous les virus possèdent un génome, capside et peplos </w:t>
      </w:r>
    </w:p>
    <w:p w:rsidR="008014D9" w:rsidRDefault="001F00F8" w:rsidP="002845D3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ind w:left="993" w:hanging="372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Le génome est </w:t>
      </w:r>
      <w:r w:rsidR="002B7140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un ADN et un ARN</w:t>
      </w:r>
    </w:p>
    <w:p w:rsidR="008014D9" w:rsidRDefault="002B7140" w:rsidP="002845D3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ind w:left="993" w:hanging="372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Les virus nus sont plus résistants que ceux enveloppés</w:t>
      </w:r>
    </w:p>
    <w:p w:rsidR="008014D9" w:rsidRPr="00627F70" w:rsidRDefault="008014D9" w:rsidP="00627F70">
      <w:pPr>
        <w:shd w:val="clear" w:color="auto" w:fill="FFFFFF"/>
        <w:spacing w:after="0" w:line="240" w:lineRule="auto"/>
        <w:ind w:left="621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</w:p>
    <w:p w:rsidR="00BF2D1F" w:rsidRPr="00F442CE" w:rsidRDefault="00BF2D1F" w:rsidP="00AA3DB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</w:p>
    <w:p w:rsidR="00AA3DB0" w:rsidRDefault="00AA3DB0" w:rsidP="00120DE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Concernant la structure des virus </w:t>
      </w:r>
      <w:proofErr w:type="gramStart"/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:  </w:t>
      </w:r>
      <w:r w:rsidR="00DE5FA7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(</w:t>
      </w:r>
      <w:proofErr w:type="gramEnd"/>
      <w:r w:rsidR="00DE5FA7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0.5)</w:t>
      </w:r>
    </w:p>
    <w:p w:rsidR="00AA3DB0" w:rsidRDefault="00AA3DB0" w:rsidP="00AA3DB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La capside virale est composée uniquement de protéines</w:t>
      </w:r>
    </w:p>
    <w:p w:rsidR="00AA3DB0" w:rsidRDefault="00120DED" w:rsidP="00120DED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Les virus ont la même forme morphologique</w:t>
      </w:r>
    </w:p>
    <w:p w:rsidR="00AA3DB0" w:rsidRPr="002B00FC" w:rsidRDefault="00AA3DB0" w:rsidP="00120DED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</w:pPr>
      <w:r w:rsidRPr="002B00FC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 xml:space="preserve">L’enveloppe </w:t>
      </w:r>
      <w:r w:rsidR="00120DED" w:rsidRPr="002B00FC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 xml:space="preserve">et la capside présentent à leur surface des déterminants glycoprotéiques </w:t>
      </w:r>
    </w:p>
    <w:p w:rsidR="00627F70" w:rsidRPr="002B00FC" w:rsidRDefault="00627F70" w:rsidP="00627F7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</w:pPr>
      <w:r w:rsidRPr="002B00FC">
        <w:rPr>
          <w:rFonts w:asciiTheme="majorBidi" w:eastAsia="Times New Roman" w:hAnsiTheme="majorBidi" w:cstheme="majorBidi"/>
          <w:b/>
          <w:bCs/>
          <w:sz w:val="18"/>
          <w:szCs w:val="18"/>
          <w:highlight w:val="yellow"/>
          <w:lang w:eastAsia="fr-FR"/>
        </w:rPr>
        <w:t>L’enveloppe est originaire de membranes cellulaires</w:t>
      </w:r>
    </w:p>
    <w:p w:rsidR="00AA3DB0" w:rsidRDefault="00AA3DB0" w:rsidP="00AA3DB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         </w:t>
      </w:r>
    </w:p>
    <w:p w:rsidR="00AA3DB0" w:rsidRDefault="00AA3DB0" w:rsidP="00120DE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Les virus sont classés selon </w:t>
      </w:r>
      <w:proofErr w:type="gramStart"/>
      <w:r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: </w:t>
      </w:r>
      <w:r w:rsidR="00DE5FA7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 xml:space="preserve"> (</w:t>
      </w:r>
      <w:proofErr w:type="gramEnd"/>
      <w:r w:rsidR="00DE5FA7"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  <w:t>0.25 x 5)</w:t>
      </w:r>
    </w:p>
    <w:p w:rsidR="00DB5608" w:rsidRDefault="00DE5FA7" w:rsidP="00D46A9C">
      <w:pPr>
        <w:pStyle w:val="Paragraphedeliste"/>
        <w:spacing w:after="0" w:line="240" w:lineRule="auto"/>
        <w:ind w:left="100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a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> :</w:t>
      </w:r>
      <w:r w:rsidR="00DF6B4A">
        <w:rPr>
          <w:rFonts w:asciiTheme="majorBidi" w:hAnsiTheme="majorBidi" w:cstheme="majorBidi"/>
          <w:b/>
          <w:bCs/>
          <w:sz w:val="18"/>
          <w:szCs w:val="18"/>
        </w:rPr>
        <w:t xml:space="preserve"> Classification de </w:t>
      </w:r>
      <w:proofErr w:type="spellStart"/>
      <w:r w:rsidR="00DF6B4A">
        <w:rPr>
          <w:rFonts w:asciiTheme="majorBidi" w:hAnsiTheme="majorBidi" w:cstheme="majorBidi"/>
          <w:b/>
          <w:bCs/>
          <w:sz w:val="18"/>
          <w:szCs w:val="18"/>
        </w:rPr>
        <w:t>Lowf</w:t>
      </w:r>
      <w:proofErr w:type="spellEnd"/>
      <w:r w:rsidR="00DF6B4A">
        <w:rPr>
          <w:rFonts w:asciiTheme="majorBidi" w:hAnsiTheme="majorBidi" w:cstheme="majorBidi"/>
          <w:b/>
          <w:bCs/>
          <w:sz w:val="18"/>
          <w:szCs w:val="18"/>
        </w:rPr>
        <w:t xml:space="preserve"> et Tournier</w:t>
      </w:r>
      <w:r w:rsidR="00D46A9C">
        <w:rPr>
          <w:rFonts w:asciiTheme="majorBidi" w:hAnsiTheme="majorBidi" w:cstheme="majorBidi"/>
          <w:b/>
          <w:bCs/>
          <w:sz w:val="18"/>
          <w:szCs w:val="18"/>
        </w:rPr>
        <w:t xml:space="preserve"> 1960</w:t>
      </w:r>
      <w:r w:rsidR="00DF6B4A">
        <w:rPr>
          <w:rFonts w:asciiTheme="majorBidi" w:hAnsiTheme="majorBidi" w:cstheme="majorBidi"/>
          <w:b/>
          <w:bCs/>
          <w:sz w:val="18"/>
          <w:szCs w:val="18"/>
        </w:rPr>
        <w:t xml:space="preserve"> (</w:t>
      </w:r>
      <w:proofErr w:type="spellStart"/>
      <w:r w:rsidR="00DF6B4A">
        <w:rPr>
          <w:rFonts w:asciiTheme="majorBidi" w:hAnsiTheme="majorBidi" w:cstheme="majorBidi"/>
          <w:b/>
          <w:bCs/>
          <w:sz w:val="18"/>
          <w:szCs w:val="18"/>
        </w:rPr>
        <w:t>LHT</w:t>
      </w:r>
      <w:proofErr w:type="spellEnd"/>
      <w:r w:rsidR="00DF6B4A">
        <w:rPr>
          <w:rFonts w:asciiTheme="majorBidi" w:hAnsiTheme="majorBidi" w:cstheme="majorBidi"/>
          <w:b/>
          <w:bCs/>
          <w:sz w:val="18"/>
          <w:szCs w:val="18"/>
        </w:rPr>
        <w:t>) :Nature</w:t>
      </w:r>
      <w:r w:rsidR="00D46A9C">
        <w:rPr>
          <w:rFonts w:asciiTheme="majorBidi" w:hAnsiTheme="majorBidi" w:cstheme="majorBidi"/>
          <w:b/>
          <w:bCs/>
          <w:sz w:val="18"/>
          <w:szCs w:val="18"/>
        </w:rPr>
        <w:t xml:space="preserve"> et structure</w:t>
      </w:r>
      <w:r w:rsidR="00DF6B4A">
        <w:rPr>
          <w:rFonts w:asciiTheme="majorBidi" w:hAnsiTheme="majorBidi" w:cstheme="majorBidi"/>
          <w:b/>
          <w:bCs/>
          <w:sz w:val="18"/>
          <w:szCs w:val="18"/>
        </w:rPr>
        <w:t xml:space="preserve"> des acides nucléiques, </w:t>
      </w:r>
      <w:r w:rsidR="00D46A9C">
        <w:rPr>
          <w:rFonts w:asciiTheme="majorBidi" w:hAnsiTheme="majorBidi" w:cstheme="majorBidi"/>
          <w:b/>
          <w:bCs/>
          <w:sz w:val="18"/>
          <w:szCs w:val="18"/>
        </w:rPr>
        <w:t>symétrie de nucléocapside, morphologie, absence/présence enveloppe</w:t>
      </w:r>
    </w:p>
    <w:p w:rsidR="00DB5608" w:rsidRDefault="00DB5608" w:rsidP="00DE5FA7">
      <w:pPr>
        <w:pStyle w:val="Paragraphedeliste"/>
        <w:spacing w:after="0" w:line="240" w:lineRule="auto"/>
        <w:ind w:left="100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b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> :</w:t>
      </w:r>
      <w:r w:rsidR="00D46A9C">
        <w:rPr>
          <w:rFonts w:asciiTheme="majorBidi" w:hAnsiTheme="majorBidi" w:cstheme="majorBidi"/>
          <w:b/>
          <w:bCs/>
          <w:sz w:val="18"/>
          <w:szCs w:val="18"/>
        </w:rPr>
        <w:t>Classification du Comité International de Taxonomie des Virus (</w:t>
      </w:r>
      <w:proofErr w:type="spellStart"/>
      <w:r w:rsidR="00D46A9C">
        <w:rPr>
          <w:rFonts w:asciiTheme="majorBidi" w:hAnsiTheme="majorBidi" w:cstheme="majorBidi"/>
          <w:b/>
          <w:bCs/>
          <w:sz w:val="18"/>
          <w:szCs w:val="18"/>
        </w:rPr>
        <w:t>ICTV</w:t>
      </w:r>
      <w:proofErr w:type="spellEnd"/>
      <w:r w:rsidR="00D46A9C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DB5608" w:rsidRDefault="00DB5608" w:rsidP="00DB5608">
      <w:pPr>
        <w:pStyle w:val="Paragraphedeliste"/>
        <w:spacing w:after="0" w:line="240" w:lineRule="auto"/>
        <w:ind w:left="100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c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> :</w:t>
      </w:r>
      <w:r w:rsidR="00D46A9C">
        <w:rPr>
          <w:rFonts w:asciiTheme="majorBidi" w:hAnsiTheme="majorBidi" w:cstheme="majorBidi"/>
          <w:b/>
          <w:bCs/>
          <w:sz w:val="18"/>
          <w:szCs w:val="18"/>
        </w:rPr>
        <w:t>Classification de Baltimore 1975 (7 types)</w:t>
      </w:r>
    </w:p>
    <w:p w:rsidR="00DB5608" w:rsidRDefault="00DB5608" w:rsidP="00DB5608">
      <w:pPr>
        <w:pStyle w:val="Paragraphedeliste"/>
        <w:spacing w:after="0" w:line="240" w:lineRule="auto"/>
        <w:ind w:left="100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d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> :</w:t>
      </w:r>
      <w:r w:rsidR="00DE5FA7">
        <w:rPr>
          <w:rFonts w:asciiTheme="majorBidi" w:hAnsiTheme="majorBidi" w:cstheme="majorBidi"/>
          <w:b/>
          <w:bCs/>
          <w:sz w:val="18"/>
          <w:szCs w:val="18"/>
        </w:rPr>
        <w:t xml:space="preserve"> Classification selon le mode de transmission</w:t>
      </w:r>
    </w:p>
    <w:p w:rsidR="00DB5608" w:rsidRDefault="00DB5608" w:rsidP="00DB5608">
      <w:pPr>
        <w:pStyle w:val="Paragraphedeliste"/>
        <w:spacing w:after="0" w:line="240" w:lineRule="auto"/>
        <w:ind w:left="100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e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 xml:space="preserve"> : </w:t>
      </w:r>
      <w:r w:rsidR="00DE5FA7">
        <w:rPr>
          <w:rFonts w:asciiTheme="majorBidi" w:hAnsiTheme="majorBidi" w:cstheme="majorBidi"/>
          <w:b/>
          <w:bCs/>
          <w:sz w:val="18"/>
          <w:szCs w:val="18"/>
        </w:rPr>
        <w:t>Les maladies qu’ils peuvent provoquer</w:t>
      </w:r>
    </w:p>
    <w:p w:rsidR="00DB5608" w:rsidRDefault="00DB5608" w:rsidP="00DB5608">
      <w:pPr>
        <w:pStyle w:val="Paragraphedeliste"/>
        <w:spacing w:after="0" w:line="240" w:lineRule="auto"/>
        <w:ind w:left="1004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AA3DB0" w:rsidRDefault="00AA3DB0" w:rsidP="00627F7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Le cycle de réplication des virus à ADN bicaténaire est : </w:t>
      </w:r>
      <w:r w:rsidR="00DE5FA7">
        <w:rPr>
          <w:rFonts w:asciiTheme="majorBidi" w:hAnsiTheme="majorBidi" w:cstheme="majorBidi"/>
          <w:b/>
          <w:bCs/>
          <w:sz w:val="18"/>
          <w:szCs w:val="18"/>
        </w:rPr>
        <w:t>(0.5)</w:t>
      </w:r>
    </w:p>
    <w:p w:rsidR="00AA3DB0" w:rsidRDefault="00AA3DB0" w:rsidP="00AA3DB0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Un cycle cytoplasmique </w:t>
      </w:r>
    </w:p>
    <w:p w:rsidR="00AA3DB0" w:rsidRPr="002B00FC" w:rsidRDefault="00AA3DB0" w:rsidP="00AA3DB0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Un cycle nucléaire</w:t>
      </w:r>
    </w:p>
    <w:p w:rsidR="00AA3DB0" w:rsidRPr="002B00FC" w:rsidRDefault="00AA3DB0" w:rsidP="00AA3DB0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Un cycle cytoplasmique pour le virus Herpes </w:t>
      </w:r>
    </w:p>
    <w:p w:rsidR="00AA3DB0" w:rsidRDefault="00AA3DB0" w:rsidP="00AA3DB0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Un cycle nucléaire pour le virus de la famille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Poxviridae</w:t>
      </w:r>
      <w:proofErr w:type="spellEnd"/>
    </w:p>
    <w:p w:rsidR="00AA3DB0" w:rsidRDefault="00AA3DB0" w:rsidP="00AA3DB0">
      <w:pPr>
        <w:pStyle w:val="Paragraphedeliste"/>
        <w:spacing w:after="0" w:line="240" w:lineRule="auto"/>
        <w:ind w:left="1004"/>
        <w:rPr>
          <w:rFonts w:asciiTheme="majorBidi" w:hAnsiTheme="majorBidi" w:cstheme="majorBidi"/>
          <w:b/>
          <w:bCs/>
          <w:sz w:val="18"/>
          <w:szCs w:val="18"/>
        </w:rPr>
      </w:pPr>
    </w:p>
    <w:p w:rsidR="00AA3DB0" w:rsidRDefault="00AA3DB0" w:rsidP="00627F7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Le cycle de réplication des virus à ARN est : </w:t>
      </w:r>
      <w:r w:rsidR="00DE5FA7">
        <w:rPr>
          <w:rFonts w:asciiTheme="majorBidi" w:hAnsiTheme="majorBidi" w:cstheme="majorBidi"/>
          <w:b/>
          <w:bCs/>
          <w:sz w:val="18"/>
          <w:szCs w:val="18"/>
        </w:rPr>
        <w:t>(0.75)</w:t>
      </w:r>
    </w:p>
    <w:p w:rsidR="00AA3DB0" w:rsidRPr="002B00FC" w:rsidRDefault="00AA3DB0" w:rsidP="00AA3DB0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Un cycle cytoplasmique </w:t>
      </w:r>
    </w:p>
    <w:p w:rsidR="00AA3DB0" w:rsidRDefault="00AA3DB0" w:rsidP="00AA3DB0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Un cycle nucléaire</w:t>
      </w:r>
    </w:p>
    <w:p w:rsidR="00AA3DB0" w:rsidRPr="002B00FC" w:rsidRDefault="00AA3DB0" w:rsidP="00AA3DB0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Codent leur propre enzyme polymérase ARN- ARN dépendante car aucune enzyme nucléaire n’intervient dans la réplication et la transcription</w:t>
      </w:r>
    </w:p>
    <w:p w:rsidR="00AA3DB0" w:rsidRPr="002B00FC" w:rsidRDefault="00AA3DB0" w:rsidP="00AA3DB0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Le virus de la grippe (</w:t>
      </w:r>
      <w:proofErr w:type="spellStart"/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Orthomyxovirus</w:t>
      </w:r>
      <w:proofErr w:type="spellEnd"/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) fait l’exception, il se réplique dans le noyau</w:t>
      </w:r>
    </w:p>
    <w:p w:rsidR="00AA3DB0" w:rsidRDefault="00AA3DB0" w:rsidP="00AA3DB0">
      <w:pPr>
        <w:pStyle w:val="Paragraphedeliste"/>
        <w:spacing w:after="0" w:line="240" w:lineRule="auto"/>
        <w:ind w:left="1080"/>
        <w:rPr>
          <w:rFonts w:asciiTheme="majorBidi" w:hAnsiTheme="majorBidi" w:cstheme="majorBidi"/>
          <w:b/>
          <w:bCs/>
          <w:sz w:val="18"/>
          <w:szCs w:val="18"/>
        </w:rPr>
      </w:pPr>
    </w:p>
    <w:p w:rsidR="00AA3DB0" w:rsidRDefault="00AA3DB0" w:rsidP="00627F7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Les virus à ARN positif (+) : </w:t>
      </w:r>
      <w:r w:rsidR="00DE5FA7">
        <w:rPr>
          <w:rFonts w:asciiTheme="majorBidi" w:hAnsiTheme="majorBidi" w:cstheme="majorBidi"/>
          <w:b/>
          <w:bCs/>
          <w:sz w:val="18"/>
          <w:szCs w:val="18"/>
        </w:rPr>
        <w:t>(0.5)</w:t>
      </w:r>
    </w:p>
    <w:p w:rsidR="00AA3DB0" w:rsidRPr="002B00FC" w:rsidRDefault="00AA3DB0" w:rsidP="00AA3DB0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Ont la même polarité que l’ARN messager codant pour les protéines </w:t>
      </w:r>
    </w:p>
    <w:p w:rsidR="00AA3DB0" w:rsidRPr="002B00FC" w:rsidRDefault="00AA3DB0" w:rsidP="00AA3DB0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Le génome peut être traduit directement par les ribosomes de la cellule hôte</w:t>
      </w:r>
    </w:p>
    <w:p w:rsidR="00AA3DB0" w:rsidRDefault="00AA3DB0" w:rsidP="00AA3DB0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Le génome ne peut se traduire directement par les ribosomes de la cellule hôte</w:t>
      </w:r>
    </w:p>
    <w:p w:rsidR="00AA3DB0" w:rsidRDefault="00AA3DB0" w:rsidP="00AA3DB0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Le génome est converti en ADN double brin par la transcriptase-inverse (rétro transcription)</w:t>
      </w:r>
    </w:p>
    <w:p w:rsidR="00AA3DB0" w:rsidRDefault="00AA3DB0" w:rsidP="00AA3DB0">
      <w:pPr>
        <w:pStyle w:val="Paragraphedeliste"/>
        <w:spacing w:after="0" w:line="240" w:lineRule="auto"/>
        <w:ind w:left="1004"/>
        <w:rPr>
          <w:rFonts w:asciiTheme="majorBidi" w:hAnsiTheme="majorBidi" w:cstheme="majorBidi"/>
          <w:b/>
          <w:bCs/>
          <w:sz w:val="18"/>
          <w:szCs w:val="18"/>
        </w:rPr>
      </w:pPr>
    </w:p>
    <w:p w:rsidR="00AA3DB0" w:rsidRDefault="00AA3DB0" w:rsidP="00AA3DB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Après la réplication du génome virale et la synthèse des protéines structurales, les nouveaux virus sont assemblés et libérés par la cellule hôte de manière que : 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>(0.5)</w:t>
      </w:r>
    </w:p>
    <w:p w:rsidR="00AA3DB0" w:rsidRDefault="00AA3DB0" w:rsidP="002B00FC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Les virus </w:t>
      </w:r>
      <w:r w:rsidR="002B00FC">
        <w:rPr>
          <w:rFonts w:asciiTheme="majorBidi" w:hAnsiTheme="majorBidi" w:cstheme="majorBidi"/>
          <w:b/>
          <w:bCs/>
          <w:sz w:val="18"/>
          <w:szCs w:val="18"/>
        </w:rPr>
        <w:t xml:space="preserve">non-enveloppés sont libérés </w:t>
      </w:r>
      <w:r w:rsidR="002B00FC"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par   la lyse de la membrane cellulaire</w:t>
      </w:r>
      <w:r w:rsidR="002B00FC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2B00FC" w:rsidRDefault="00AA3DB0" w:rsidP="002B00FC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</w:rPr>
        <w:t xml:space="preserve">Les virus enveloppés sont libérés </w:t>
      </w:r>
      <w:r w:rsidR="00DC3800" w:rsidRPr="00DC3800">
        <w:rPr>
          <w:rFonts w:asciiTheme="majorBidi" w:hAnsiTheme="majorBidi" w:cstheme="majorBidi"/>
          <w:b/>
          <w:bCs/>
          <w:sz w:val="18"/>
          <w:szCs w:val="18"/>
          <w:highlight w:val="yellow"/>
        </w:rPr>
        <w:t>par le</w:t>
      </w:r>
      <w:r w:rsidR="002B00FC" w:rsidRPr="00DC3800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 bourgeonnement </w:t>
      </w:r>
      <w:r w:rsidR="002B00FC" w:rsidRPr="002B00FC">
        <w:rPr>
          <w:rFonts w:asciiTheme="majorBidi" w:hAnsiTheme="majorBidi" w:cstheme="majorBidi"/>
          <w:b/>
          <w:bCs/>
          <w:sz w:val="18"/>
          <w:szCs w:val="18"/>
          <w:highlight w:val="yellow"/>
        </w:rPr>
        <w:t>de la membrane cellulaire</w:t>
      </w:r>
    </w:p>
    <w:p w:rsidR="00AA3DB0" w:rsidRPr="002B00FC" w:rsidRDefault="002B6089" w:rsidP="00DB31BC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2B00FC">
        <w:rPr>
          <w:rFonts w:asciiTheme="majorBidi" w:hAnsiTheme="majorBidi" w:cstheme="majorBidi"/>
          <w:b/>
          <w:bCs/>
          <w:sz w:val="18"/>
          <w:szCs w:val="18"/>
        </w:rPr>
        <w:t xml:space="preserve">La libération </w:t>
      </w:r>
      <w:r w:rsidR="00AA3DB0" w:rsidRPr="002B00FC">
        <w:rPr>
          <w:rFonts w:asciiTheme="majorBidi" w:hAnsiTheme="majorBidi" w:cstheme="majorBidi"/>
          <w:b/>
          <w:bCs/>
          <w:sz w:val="18"/>
          <w:szCs w:val="18"/>
        </w:rPr>
        <w:t>des virus enveloppés s’accompagne de la mort de la cellule hôte</w:t>
      </w:r>
    </w:p>
    <w:p w:rsidR="002B6089" w:rsidRDefault="002B6089" w:rsidP="002B6089">
      <w:pPr>
        <w:pStyle w:val="Paragraphedeliste"/>
        <w:spacing w:after="0" w:line="240" w:lineRule="auto"/>
        <w:ind w:left="1004"/>
        <w:rPr>
          <w:rFonts w:asciiTheme="majorBidi" w:hAnsiTheme="majorBidi" w:cstheme="majorBidi"/>
          <w:b/>
          <w:bCs/>
          <w:sz w:val="18"/>
          <w:szCs w:val="18"/>
        </w:rPr>
      </w:pPr>
    </w:p>
    <w:p w:rsidR="002B6089" w:rsidRDefault="002B6089" w:rsidP="002B608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Les modes de transmission des virus :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 xml:space="preserve"> (0.25 x 8)</w:t>
      </w:r>
    </w:p>
    <w:p w:rsidR="002B6089" w:rsidRDefault="002B6089" w:rsidP="00452737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a. </w:t>
      </w:r>
      <w:r w:rsidR="00802BF7">
        <w:rPr>
          <w:rFonts w:asciiTheme="majorBidi" w:hAnsiTheme="majorBidi" w:cstheme="majorBidi"/>
          <w:b/>
          <w:bCs/>
          <w:sz w:val="18"/>
          <w:szCs w:val="18"/>
        </w:rPr>
        <w:t>Transmission par voie aérienne</w:t>
      </w:r>
      <w:r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2B6089" w:rsidRDefault="00802BF7" w:rsidP="00452737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b. Transmission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féco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>-orale</w:t>
      </w:r>
      <w:r w:rsidR="002B6089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2B6089" w:rsidRDefault="002B6089" w:rsidP="00452737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c. </w:t>
      </w:r>
      <w:r w:rsidR="00802BF7">
        <w:rPr>
          <w:rFonts w:asciiTheme="majorBidi" w:hAnsiTheme="majorBidi" w:cstheme="majorBidi"/>
          <w:b/>
          <w:bCs/>
          <w:sz w:val="18"/>
          <w:szCs w:val="18"/>
        </w:rPr>
        <w:t>Transmission parentérale</w:t>
      </w:r>
      <w:r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DC3800" w:rsidRDefault="00802BF7" w:rsidP="00DC380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d. Transmission sexuelle </w:t>
      </w:r>
    </w:p>
    <w:p w:rsidR="002B6089" w:rsidRDefault="002B6089" w:rsidP="00DC380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lastRenderedPageBreak/>
        <w:t xml:space="preserve">e. </w:t>
      </w:r>
      <w:r w:rsidR="00452737">
        <w:rPr>
          <w:rFonts w:asciiTheme="majorBidi" w:hAnsiTheme="majorBidi" w:cstheme="majorBidi"/>
          <w:b/>
          <w:bCs/>
          <w:sz w:val="18"/>
          <w:szCs w:val="18"/>
        </w:rPr>
        <w:t xml:space="preserve">Transmission par </w:t>
      </w:r>
      <w:r w:rsidR="00E70892">
        <w:rPr>
          <w:rFonts w:asciiTheme="majorBidi" w:hAnsiTheme="majorBidi" w:cstheme="majorBidi"/>
          <w:b/>
          <w:bCs/>
          <w:sz w:val="18"/>
          <w:szCs w:val="18"/>
        </w:rPr>
        <w:t>arthropodes.</w:t>
      </w:r>
    </w:p>
    <w:p w:rsidR="002B6089" w:rsidRDefault="00452737" w:rsidP="00DC380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f</w:t>
      </w:r>
      <w:proofErr w:type="gramEnd"/>
      <w:r w:rsidR="002B6089">
        <w:rPr>
          <w:rFonts w:asciiTheme="majorBidi" w:hAnsiTheme="majorBidi" w:cstheme="majorBidi"/>
          <w:b/>
          <w:bCs/>
          <w:sz w:val="18"/>
          <w:szCs w:val="18"/>
        </w:rPr>
        <w:t>…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Transmission mère-enfant</w:t>
      </w:r>
      <w:r w:rsidR="00DC3800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2B6089" w:rsidRDefault="002B6089" w:rsidP="00DC380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g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>…</w:t>
      </w:r>
      <w:r w:rsidR="00452737">
        <w:rPr>
          <w:rFonts w:asciiTheme="majorBidi" w:hAnsiTheme="majorBidi" w:cstheme="majorBidi"/>
          <w:b/>
          <w:bCs/>
          <w:sz w:val="18"/>
          <w:szCs w:val="18"/>
        </w:rPr>
        <w:t xml:space="preserve"> Transmission par maladies iatro</w:t>
      </w:r>
      <w:r w:rsidR="00DC3800">
        <w:rPr>
          <w:rFonts w:asciiTheme="majorBidi" w:hAnsiTheme="majorBidi" w:cstheme="majorBidi"/>
          <w:b/>
          <w:bCs/>
          <w:sz w:val="18"/>
          <w:szCs w:val="18"/>
        </w:rPr>
        <w:t>gènes (infections nosocomiales).</w:t>
      </w:r>
    </w:p>
    <w:p w:rsidR="004E16A9" w:rsidRDefault="004E16A9" w:rsidP="00DC380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h</w:t>
      </w:r>
      <w:r w:rsidR="00452737">
        <w:rPr>
          <w:rFonts w:asciiTheme="majorBidi" w:hAnsiTheme="majorBidi" w:cstheme="majorBidi"/>
          <w:b/>
          <w:bCs/>
          <w:sz w:val="18"/>
          <w:szCs w:val="18"/>
        </w:rPr>
        <w:t>. Transmission par z</w:t>
      </w:r>
      <w:r w:rsidR="00DC3800">
        <w:rPr>
          <w:rFonts w:asciiTheme="majorBidi" w:hAnsiTheme="majorBidi" w:cstheme="majorBidi"/>
          <w:b/>
          <w:bCs/>
          <w:sz w:val="18"/>
          <w:szCs w:val="18"/>
        </w:rPr>
        <w:t>oonoses.</w:t>
      </w:r>
    </w:p>
    <w:p w:rsidR="004E16A9" w:rsidRDefault="004E16A9" w:rsidP="004E16A9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E04ADA" w:rsidRDefault="00E04ADA" w:rsidP="004E16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L</w:t>
      </w:r>
      <w:r w:rsidR="004E16A9" w:rsidRPr="004E16A9">
        <w:rPr>
          <w:rFonts w:asciiTheme="majorBidi" w:hAnsiTheme="majorBidi" w:cstheme="majorBidi"/>
          <w:b/>
          <w:bCs/>
          <w:sz w:val="18"/>
          <w:szCs w:val="18"/>
        </w:rPr>
        <w:t>ors de l’infection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virale</w:t>
      </w:r>
      <w:r w:rsidR="004E16A9" w:rsidRPr="004E16A9">
        <w:rPr>
          <w:rFonts w:asciiTheme="majorBidi" w:hAnsiTheme="majorBidi" w:cstheme="majorBidi"/>
          <w:b/>
          <w:bCs/>
          <w:sz w:val="18"/>
          <w:szCs w:val="18"/>
        </w:rPr>
        <w:t xml:space="preserve">, les cellules peuvent </w:t>
      </w:r>
      <w:r w:rsidRPr="004E16A9">
        <w:rPr>
          <w:rFonts w:asciiTheme="majorBidi" w:hAnsiTheme="majorBidi" w:cstheme="majorBidi"/>
          <w:b/>
          <w:bCs/>
          <w:sz w:val="18"/>
          <w:szCs w:val="18"/>
        </w:rPr>
        <w:t>être :</w:t>
      </w:r>
      <w:r w:rsidR="004E16A9" w:rsidRPr="004E16A9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>(0.75)</w:t>
      </w:r>
    </w:p>
    <w:p w:rsidR="00E04ADA" w:rsidRPr="00DF6B4A" w:rsidRDefault="00E04ADA" w:rsidP="00E04ADA">
      <w:pPr>
        <w:pStyle w:val="Paragraphedeliste"/>
        <w:numPr>
          <w:ilvl w:val="1"/>
          <w:numId w:val="1"/>
        </w:numPr>
        <w:ind w:left="993" w:hanging="284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DF6B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>Cellules résistantes</w:t>
      </w:r>
      <w:r w:rsidR="004E16A9" w:rsidRPr="00DF6B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 </w:t>
      </w:r>
    </w:p>
    <w:p w:rsidR="00E04ADA" w:rsidRPr="00DF6B4A" w:rsidRDefault="00E04ADA" w:rsidP="00E04ADA">
      <w:pPr>
        <w:pStyle w:val="Paragraphedeliste"/>
        <w:numPr>
          <w:ilvl w:val="1"/>
          <w:numId w:val="1"/>
        </w:numPr>
        <w:ind w:left="993" w:hanging="284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DF6B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Non permissives </w:t>
      </w:r>
    </w:p>
    <w:p w:rsidR="00D82A6F" w:rsidRPr="00DF6B4A" w:rsidRDefault="004E16A9" w:rsidP="00E04ADA">
      <w:pPr>
        <w:pStyle w:val="Paragraphedeliste"/>
        <w:numPr>
          <w:ilvl w:val="1"/>
          <w:numId w:val="1"/>
        </w:numPr>
        <w:ind w:left="993" w:hanging="284"/>
        <w:rPr>
          <w:rFonts w:asciiTheme="majorBidi" w:hAnsiTheme="majorBidi" w:cstheme="majorBidi"/>
          <w:b/>
          <w:bCs/>
          <w:sz w:val="18"/>
          <w:szCs w:val="18"/>
          <w:highlight w:val="yellow"/>
        </w:rPr>
      </w:pPr>
      <w:r w:rsidRPr="00DF6B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Permissives (Infection </w:t>
      </w:r>
      <w:r w:rsidR="00E04ADA" w:rsidRPr="00DF6B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>aigue,</w:t>
      </w:r>
      <w:r w:rsidRPr="00DF6B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 xml:space="preserve"> latente persistante ou </w:t>
      </w:r>
      <w:r w:rsidR="00E04ADA" w:rsidRPr="00DF6B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>transformante)</w:t>
      </w:r>
    </w:p>
    <w:p w:rsidR="00E04ADA" w:rsidRDefault="008630F8" w:rsidP="00E04ADA">
      <w:pPr>
        <w:pStyle w:val="Paragraphedeliste"/>
        <w:numPr>
          <w:ilvl w:val="1"/>
          <w:numId w:val="1"/>
        </w:numPr>
        <w:ind w:left="993" w:hanging="28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Aucune réponse</w:t>
      </w:r>
    </w:p>
    <w:p w:rsidR="008630F8" w:rsidRPr="00E04ADA" w:rsidRDefault="008630F8" w:rsidP="008630F8">
      <w:pPr>
        <w:pStyle w:val="Paragraphedeliste"/>
        <w:ind w:left="993"/>
        <w:rPr>
          <w:rFonts w:asciiTheme="majorBidi" w:hAnsiTheme="majorBidi" w:cstheme="majorBidi"/>
          <w:b/>
          <w:bCs/>
          <w:sz w:val="18"/>
          <w:szCs w:val="18"/>
        </w:rPr>
      </w:pPr>
    </w:p>
    <w:p w:rsidR="008630F8" w:rsidRDefault="004E16A9" w:rsidP="004E16A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Les </w:t>
      </w:r>
      <w:r w:rsidR="008630F8">
        <w:rPr>
          <w:rFonts w:asciiTheme="majorBidi" w:hAnsiTheme="majorBidi" w:cstheme="majorBidi"/>
          <w:b/>
          <w:bCs/>
          <w:sz w:val="18"/>
          <w:szCs w:val="18"/>
        </w:rPr>
        <w:t>étapes de la multiplication des bactériophages sont :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 xml:space="preserve"> (0.5 x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>7)</w:t>
      </w:r>
    </w:p>
    <w:p w:rsidR="008630F8" w:rsidRDefault="008630F8" w:rsidP="00015C9B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a</w:t>
      </w:r>
      <w:r w:rsidR="00A37353">
        <w:rPr>
          <w:rFonts w:asciiTheme="majorBidi" w:hAnsiTheme="majorBidi" w:cstheme="majorBidi"/>
          <w:b/>
          <w:bCs/>
          <w:sz w:val="18"/>
          <w:szCs w:val="18"/>
        </w:rPr>
        <w:t xml:space="preserve">. </w:t>
      </w:r>
      <w:r w:rsidR="00015C9B">
        <w:rPr>
          <w:rFonts w:asciiTheme="majorBidi" w:hAnsiTheme="majorBidi" w:cstheme="majorBidi"/>
          <w:b/>
          <w:bCs/>
          <w:sz w:val="18"/>
          <w:szCs w:val="18"/>
        </w:rPr>
        <w:t>Adsorption et attachement</w:t>
      </w:r>
    </w:p>
    <w:p w:rsidR="00D82A6F" w:rsidRDefault="008630F8" w:rsidP="00015C9B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b.</w:t>
      </w:r>
      <w:r w:rsidR="00D82A6F" w:rsidRPr="00D82A6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015C9B">
        <w:rPr>
          <w:rFonts w:asciiTheme="majorBidi" w:hAnsiTheme="majorBidi" w:cstheme="majorBidi"/>
          <w:b/>
          <w:bCs/>
          <w:sz w:val="18"/>
          <w:szCs w:val="18"/>
        </w:rPr>
        <w:t xml:space="preserve">Entrée et 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>pénétration.</w:t>
      </w:r>
    </w:p>
    <w:p w:rsidR="00D82A6F" w:rsidRDefault="008630F8" w:rsidP="00015C9B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c.</w:t>
      </w:r>
      <w:r w:rsidR="00D82A6F" w:rsidRPr="00D82A6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>Décapsidation.</w:t>
      </w:r>
    </w:p>
    <w:p w:rsidR="00D82A6F" w:rsidRDefault="008630F8" w:rsidP="00015C9B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d.</w:t>
      </w:r>
      <w:r w:rsidR="00D82A6F" w:rsidRPr="00D82A6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015C9B">
        <w:rPr>
          <w:rFonts w:asciiTheme="majorBidi" w:hAnsiTheme="majorBidi" w:cstheme="majorBidi"/>
          <w:b/>
          <w:bCs/>
          <w:sz w:val="18"/>
          <w:szCs w:val="18"/>
        </w:rPr>
        <w:t xml:space="preserve">Synthèse des composants viraux et les protéines virales </w:t>
      </w:r>
    </w:p>
    <w:p w:rsidR="00D82A6F" w:rsidRDefault="008630F8" w:rsidP="002222C7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e.</w:t>
      </w:r>
      <w:r w:rsidR="00D82A6F" w:rsidRPr="00D82A6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015C9B">
        <w:rPr>
          <w:rFonts w:asciiTheme="majorBidi" w:hAnsiTheme="majorBidi" w:cstheme="majorBidi"/>
          <w:b/>
          <w:bCs/>
          <w:sz w:val="18"/>
          <w:szCs w:val="18"/>
        </w:rPr>
        <w:t xml:space="preserve">Réplication 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 xml:space="preserve">du génome virale </w:t>
      </w:r>
    </w:p>
    <w:p w:rsidR="00D82A6F" w:rsidRDefault="008630F8" w:rsidP="002222C7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f.</w:t>
      </w:r>
      <w:r w:rsidR="00D82A6F" w:rsidRPr="00D82A6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>Maturation et a</w:t>
      </w:r>
      <w:r w:rsidR="00015C9B">
        <w:rPr>
          <w:rFonts w:asciiTheme="majorBidi" w:hAnsiTheme="majorBidi" w:cstheme="majorBidi"/>
          <w:b/>
          <w:bCs/>
          <w:sz w:val="18"/>
          <w:szCs w:val="18"/>
        </w:rPr>
        <w:t>ssembla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>ge.</w:t>
      </w:r>
    </w:p>
    <w:p w:rsidR="00D82A6F" w:rsidRDefault="008630F8" w:rsidP="002222C7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g.</w:t>
      </w:r>
      <w:r w:rsidR="00D82A6F" w:rsidRPr="00D82A6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>Libération des nouveaux virus.</w:t>
      </w:r>
    </w:p>
    <w:p w:rsidR="008630F8" w:rsidRDefault="008630F8" w:rsidP="008630F8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</w:p>
    <w:p w:rsidR="00F12970" w:rsidRDefault="00F12970" w:rsidP="00F1297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La différence entre le cycle lysogénique et le cycle lytique de</w:t>
      </w:r>
      <w:r w:rsidR="006014C5"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bactériophage</w:t>
      </w:r>
      <w:r w:rsidR="006014C5"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b/>
          <w:bCs/>
          <w:sz w:val="18"/>
          <w:szCs w:val="18"/>
        </w:rPr>
        <w:t> :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 xml:space="preserve"> (0.25 x 4)</w:t>
      </w:r>
    </w:p>
    <w:p w:rsidR="00F12970" w:rsidRDefault="00F12970" w:rsidP="003C068B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a</w:t>
      </w:r>
      <w:r w:rsidR="00A37353">
        <w:rPr>
          <w:rFonts w:asciiTheme="majorBidi" w:hAnsiTheme="majorBidi" w:cstheme="majorBidi"/>
          <w:b/>
          <w:bCs/>
          <w:sz w:val="18"/>
          <w:szCs w:val="18"/>
        </w:rPr>
        <w:t xml:space="preserve">. Cycle lytique : attachement, entrée, réplication, synthèse des </w:t>
      </w:r>
      <w:proofErr w:type="spellStart"/>
      <w:r w:rsidR="00A37353">
        <w:rPr>
          <w:rFonts w:asciiTheme="majorBidi" w:hAnsiTheme="majorBidi" w:cstheme="majorBidi"/>
          <w:b/>
          <w:bCs/>
          <w:sz w:val="18"/>
          <w:szCs w:val="18"/>
        </w:rPr>
        <w:t>prt</w:t>
      </w:r>
      <w:proofErr w:type="spellEnd"/>
      <w:r w:rsidR="00A37353">
        <w:rPr>
          <w:rFonts w:asciiTheme="majorBidi" w:hAnsiTheme="majorBidi" w:cstheme="majorBidi"/>
          <w:b/>
          <w:bCs/>
          <w:sz w:val="18"/>
          <w:szCs w:val="18"/>
        </w:rPr>
        <w:t xml:space="preserve">, maturation, assemblage et libération par la lyse </w:t>
      </w:r>
      <w:r w:rsidR="00E70892">
        <w:rPr>
          <w:rFonts w:asciiTheme="majorBidi" w:hAnsiTheme="majorBidi" w:cstheme="majorBidi"/>
          <w:b/>
          <w:bCs/>
          <w:sz w:val="18"/>
          <w:szCs w:val="18"/>
        </w:rPr>
        <w:t xml:space="preserve">de la membrane cellulaire.  </w:t>
      </w:r>
    </w:p>
    <w:p w:rsidR="00F12970" w:rsidRDefault="00B97D80" w:rsidP="00B97D80">
      <w:pPr>
        <w:pStyle w:val="Paragraphedeliste"/>
        <w:spacing w:after="0" w:line="240" w:lineRule="auto"/>
        <w:ind w:left="64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b. </w:t>
      </w:r>
      <w:r w:rsidR="00E70892">
        <w:rPr>
          <w:rFonts w:asciiTheme="majorBidi" w:hAnsiTheme="majorBidi" w:cstheme="majorBidi"/>
          <w:b/>
          <w:bCs/>
          <w:sz w:val="18"/>
          <w:szCs w:val="18"/>
        </w:rPr>
        <w:t xml:space="preserve">Cycle lysogénique : </w:t>
      </w:r>
      <w:r w:rsidR="00553323">
        <w:rPr>
          <w:rFonts w:asciiTheme="majorBidi" w:hAnsiTheme="majorBidi" w:cstheme="majorBidi"/>
          <w:b/>
          <w:bCs/>
          <w:sz w:val="18"/>
          <w:szCs w:val="18"/>
        </w:rPr>
        <w:t>outre toutes les étapes précédentes, ce cycle se caractérise par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 : c. </w:t>
      </w:r>
      <w:r w:rsidR="00553323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>L’intégration</w:t>
      </w:r>
      <w:r w:rsidR="00553323">
        <w:rPr>
          <w:rFonts w:asciiTheme="majorBidi" w:hAnsiTheme="majorBidi" w:cstheme="majorBidi"/>
          <w:b/>
          <w:bCs/>
          <w:sz w:val="18"/>
          <w:szCs w:val="18"/>
        </w:rPr>
        <w:t xml:space="preserve"> des deux génomes virale et bactérien,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c. </w:t>
      </w:r>
      <w:r w:rsidR="00553323">
        <w:rPr>
          <w:rFonts w:asciiTheme="majorBidi" w:hAnsiTheme="majorBidi" w:cstheme="majorBidi"/>
          <w:b/>
          <w:bCs/>
          <w:sz w:val="18"/>
          <w:szCs w:val="18"/>
        </w:rPr>
        <w:t xml:space="preserve">puis la bactérie se divise successivement </w:t>
      </w:r>
      <w:r w:rsidR="00A27F34">
        <w:rPr>
          <w:rFonts w:asciiTheme="majorBidi" w:hAnsiTheme="majorBidi" w:cstheme="majorBidi"/>
          <w:b/>
          <w:bCs/>
          <w:sz w:val="18"/>
          <w:szCs w:val="18"/>
        </w:rPr>
        <w:t xml:space="preserve">en produisant des bactéries qui portent un mélange du matériel génétique.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D. </w:t>
      </w:r>
      <w:r w:rsidR="00A27F34">
        <w:rPr>
          <w:rFonts w:asciiTheme="majorBidi" w:hAnsiTheme="majorBidi" w:cstheme="majorBidi"/>
          <w:b/>
          <w:bCs/>
          <w:sz w:val="18"/>
          <w:szCs w:val="18"/>
        </w:rPr>
        <w:t xml:space="preserve">La bactérie persiste avec cette forme jusqu’à là où </w:t>
      </w:r>
      <w:r>
        <w:rPr>
          <w:rFonts w:asciiTheme="majorBidi" w:hAnsiTheme="majorBidi" w:cstheme="majorBidi"/>
          <w:b/>
          <w:bCs/>
          <w:sz w:val="18"/>
          <w:szCs w:val="18"/>
        </w:rPr>
        <w:t>l’y aura des</w:t>
      </w:r>
      <w:r w:rsidR="00A27F34">
        <w:rPr>
          <w:rFonts w:asciiTheme="majorBidi" w:hAnsiTheme="majorBidi" w:cstheme="majorBidi"/>
          <w:b/>
          <w:bCs/>
          <w:sz w:val="18"/>
          <w:szCs w:val="18"/>
        </w:rPr>
        <w:t xml:space="preserve"> conditions défavorables </w:t>
      </w:r>
      <w:r>
        <w:rPr>
          <w:rFonts w:asciiTheme="majorBidi" w:hAnsiTheme="majorBidi" w:cstheme="majorBidi"/>
          <w:b/>
          <w:bCs/>
          <w:sz w:val="18"/>
          <w:szCs w:val="18"/>
        </w:rPr>
        <w:t>ou bien elle va subir des cas de stress qui vont permettre à déclencher le cycle de réplication de nouveau.</w:t>
      </w:r>
      <w:r w:rsidR="00A27F3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F12970" w:rsidRDefault="00D82A6F" w:rsidP="00F1297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g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 xml:space="preserve"> : Aucune différence </w:t>
      </w:r>
    </w:p>
    <w:p w:rsidR="00D82A6F" w:rsidRDefault="00D82A6F" w:rsidP="00F1297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</w:p>
    <w:p w:rsidR="000A4627" w:rsidRDefault="002E4AAE" w:rsidP="002E4AA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Selon le type de virus</w:t>
      </w:r>
      <w:r w:rsidR="00061523">
        <w:rPr>
          <w:rFonts w:asciiTheme="majorBidi" w:hAnsiTheme="majorBidi" w:cstheme="majorBidi"/>
          <w:b/>
          <w:bCs/>
          <w:sz w:val="18"/>
          <w:szCs w:val="18"/>
        </w:rPr>
        <w:t>,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c</w:t>
      </w:r>
      <w:r w:rsidR="000A4627">
        <w:rPr>
          <w:rFonts w:asciiTheme="majorBidi" w:hAnsiTheme="majorBidi" w:cstheme="majorBidi"/>
          <w:b/>
          <w:bCs/>
          <w:sz w:val="18"/>
          <w:szCs w:val="18"/>
        </w:rPr>
        <w:t>haque étape du cycle de réplication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dans la cellule eucaryote</w:t>
      </w:r>
      <w:r w:rsidR="000A462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est caractérisé par : 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>(0.25 x 6)</w:t>
      </w:r>
    </w:p>
    <w:p w:rsidR="000A4627" w:rsidRDefault="002E4AAE" w:rsidP="00612546">
      <w:pPr>
        <w:pStyle w:val="Paragraphedeliste"/>
        <w:numPr>
          <w:ilvl w:val="1"/>
          <w:numId w:val="1"/>
        </w:numPr>
        <w:spacing w:after="0" w:line="240" w:lineRule="auto"/>
        <w:ind w:hanging="655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Étape</w:t>
      </w:r>
      <w:r w:rsidR="000A4627">
        <w:rPr>
          <w:rFonts w:asciiTheme="majorBidi" w:hAnsiTheme="majorBidi" w:cstheme="majorBidi"/>
          <w:b/>
          <w:bCs/>
          <w:sz w:val="18"/>
          <w:szCs w:val="18"/>
        </w:rPr>
        <w:t xml:space="preserve"> 1</w:t>
      </w:r>
      <w:r w:rsidR="003D72F7">
        <w:rPr>
          <w:rFonts w:asciiTheme="majorBidi" w:hAnsiTheme="majorBidi" w:cstheme="majorBidi"/>
          <w:b/>
          <w:bCs/>
          <w:sz w:val="18"/>
          <w:szCs w:val="18"/>
        </w:rPr>
        <w:t> : Adsorption et attachement : par des récepteurs glycoprotéiques de surface par tropisme (virus enveloppés) et les protéines de la capside pour les virus nus.</w:t>
      </w:r>
    </w:p>
    <w:p w:rsidR="000A4627" w:rsidRDefault="002E4AAE" w:rsidP="00612546">
      <w:pPr>
        <w:pStyle w:val="Paragraphedeliste"/>
        <w:numPr>
          <w:ilvl w:val="1"/>
          <w:numId w:val="1"/>
        </w:numPr>
        <w:spacing w:after="0" w:line="240" w:lineRule="auto"/>
        <w:ind w:hanging="655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Étape</w:t>
      </w:r>
      <w:r w:rsidR="000A4627">
        <w:rPr>
          <w:rFonts w:asciiTheme="majorBidi" w:hAnsiTheme="majorBidi" w:cstheme="majorBidi"/>
          <w:b/>
          <w:bCs/>
          <w:sz w:val="18"/>
          <w:szCs w:val="18"/>
        </w:rPr>
        <w:t xml:space="preserve"> 2 :</w:t>
      </w:r>
      <w:r w:rsidR="003D72F7">
        <w:rPr>
          <w:rFonts w:asciiTheme="majorBidi" w:hAnsiTheme="majorBidi" w:cstheme="majorBidi"/>
          <w:b/>
          <w:bCs/>
          <w:sz w:val="18"/>
          <w:szCs w:val="18"/>
        </w:rPr>
        <w:t xml:space="preserve"> Entrée : par injection </w:t>
      </w:r>
      <w:r w:rsidR="00F710D1">
        <w:rPr>
          <w:rFonts w:asciiTheme="majorBidi" w:hAnsiTheme="majorBidi" w:cstheme="majorBidi"/>
          <w:b/>
          <w:bCs/>
          <w:sz w:val="18"/>
          <w:szCs w:val="18"/>
        </w:rPr>
        <w:t xml:space="preserve">ou par endocytose </w:t>
      </w:r>
      <w:r w:rsidR="003D72F7">
        <w:rPr>
          <w:rFonts w:asciiTheme="majorBidi" w:hAnsiTheme="majorBidi" w:cstheme="majorBidi"/>
          <w:b/>
          <w:bCs/>
          <w:sz w:val="18"/>
          <w:szCs w:val="18"/>
        </w:rPr>
        <w:t xml:space="preserve">du génome </w:t>
      </w:r>
      <w:r w:rsidR="00F710D1">
        <w:rPr>
          <w:rFonts w:asciiTheme="majorBidi" w:hAnsiTheme="majorBidi" w:cstheme="majorBidi"/>
          <w:b/>
          <w:bCs/>
          <w:sz w:val="18"/>
          <w:szCs w:val="18"/>
        </w:rPr>
        <w:t>des virus nus. Par fusion de la MB virale et cellulaire ou par endocytose des virus enveloppés.</w:t>
      </w:r>
    </w:p>
    <w:p w:rsidR="000A4627" w:rsidRDefault="002E4AAE" w:rsidP="00612546">
      <w:pPr>
        <w:pStyle w:val="Paragraphedeliste"/>
        <w:numPr>
          <w:ilvl w:val="1"/>
          <w:numId w:val="1"/>
        </w:numPr>
        <w:spacing w:after="0" w:line="240" w:lineRule="auto"/>
        <w:ind w:hanging="655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Étape</w:t>
      </w:r>
      <w:r w:rsidR="000A4627">
        <w:rPr>
          <w:rFonts w:asciiTheme="majorBidi" w:hAnsiTheme="majorBidi" w:cstheme="majorBidi"/>
          <w:b/>
          <w:bCs/>
          <w:sz w:val="18"/>
          <w:szCs w:val="18"/>
        </w:rPr>
        <w:t xml:space="preserve"> 3 : </w:t>
      </w:r>
      <w:r w:rsidR="00F710D1">
        <w:rPr>
          <w:rFonts w:asciiTheme="majorBidi" w:hAnsiTheme="majorBidi" w:cstheme="majorBidi"/>
          <w:b/>
          <w:bCs/>
          <w:sz w:val="18"/>
          <w:szCs w:val="18"/>
        </w:rPr>
        <w:t xml:space="preserve">Décapsidation : </w:t>
      </w:r>
      <w:r w:rsidR="00393BA5">
        <w:rPr>
          <w:rFonts w:asciiTheme="majorBidi" w:hAnsiTheme="majorBidi" w:cstheme="majorBidi"/>
          <w:b/>
          <w:bCs/>
          <w:sz w:val="18"/>
          <w:szCs w:val="18"/>
        </w:rPr>
        <w:t xml:space="preserve">les virus à endocytose, formation des endosomes qui fusionnent avec celle de virus. Les virus à génome injecté, ce dernier est libre dans le cytoplasme cellulaire et suit la réplication. </w:t>
      </w:r>
      <w:r w:rsidR="00F710D1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2E4AAE" w:rsidRDefault="000C1B86" w:rsidP="00612546">
      <w:pPr>
        <w:pStyle w:val="Paragraphedeliste"/>
        <w:numPr>
          <w:ilvl w:val="1"/>
          <w:numId w:val="1"/>
        </w:numPr>
        <w:spacing w:after="0" w:line="240" w:lineRule="auto"/>
        <w:ind w:hanging="655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Étape</w:t>
      </w:r>
      <w:r w:rsidR="002E4AAE">
        <w:rPr>
          <w:rFonts w:asciiTheme="majorBidi" w:hAnsiTheme="majorBidi" w:cstheme="majorBidi"/>
          <w:b/>
          <w:bCs/>
          <w:sz w:val="18"/>
          <w:szCs w:val="18"/>
        </w:rPr>
        <w:t xml:space="preserve"> 4 : </w:t>
      </w:r>
      <w:r w:rsidR="00393BA5">
        <w:rPr>
          <w:rFonts w:asciiTheme="majorBidi" w:hAnsiTheme="majorBidi" w:cstheme="majorBidi"/>
          <w:b/>
          <w:bCs/>
          <w:sz w:val="18"/>
          <w:szCs w:val="18"/>
        </w:rPr>
        <w:t xml:space="preserve">synthèse des protéines virales (PS, </w:t>
      </w:r>
      <w:proofErr w:type="spellStart"/>
      <w:r w:rsidR="00393BA5">
        <w:rPr>
          <w:rFonts w:asciiTheme="majorBidi" w:hAnsiTheme="majorBidi" w:cstheme="majorBidi"/>
          <w:b/>
          <w:bCs/>
          <w:sz w:val="18"/>
          <w:szCs w:val="18"/>
        </w:rPr>
        <w:t>PNS</w:t>
      </w:r>
      <w:proofErr w:type="spellEnd"/>
      <w:r w:rsidR="00393BA5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2E4AAE" w:rsidRDefault="000C1B86" w:rsidP="003C068B">
      <w:pPr>
        <w:pStyle w:val="Paragraphedeliste"/>
        <w:numPr>
          <w:ilvl w:val="1"/>
          <w:numId w:val="1"/>
        </w:numPr>
        <w:spacing w:after="0" w:line="240" w:lineRule="auto"/>
        <w:ind w:hanging="655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Étape</w:t>
      </w:r>
      <w:r w:rsidR="002E4AAE">
        <w:rPr>
          <w:rFonts w:asciiTheme="majorBidi" w:hAnsiTheme="majorBidi" w:cstheme="majorBidi"/>
          <w:b/>
          <w:bCs/>
          <w:sz w:val="18"/>
          <w:szCs w:val="18"/>
        </w:rPr>
        <w:t xml:space="preserve"> 5 : </w:t>
      </w:r>
      <w:r w:rsidR="00393BA5">
        <w:rPr>
          <w:rFonts w:asciiTheme="majorBidi" w:hAnsiTheme="majorBidi" w:cstheme="majorBidi"/>
          <w:b/>
          <w:bCs/>
          <w:sz w:val="18"/>
          <w:szCs w:val="18"/>
        </w:rPr>
        <w:t xml:space="preserve">Réplication : </w:t>
      </w:r>
      <w:r w:rsidR="00142E14">
        <w:rPr>
          <w:rFonts w:asciiTheme="majorBidi" w:hAnsiTheme="majorBidi" w:cstheme="majorBidi"/>
          <w:b/>
          <w:bCs/>
          <w:sz w:val="18"/>
          <w:szCs w:val="18"/>
        </w:rPr>
        <w:t xml:space="preserve">par les enzymes cellulaires et virales, virus à ARN dans le cytoplasme, et celui à ADN </w:t>
      </w:r>
      <w:r w:rsidR="003C068B">
        <w:rPr>
          <w:rFonts w:asciiTheme="majorBidi" w:hAnsiTheme="majorBidi" w:cstheme="majorBidi"/>
          <w:b/>
          <w:bCs/>
          <w:sz w:val="18"/>
          <w:szCs w:val="18"/>
        </w:rPr>
        <w:t xml:space="preserve">se fait </w:t>
      </w:r>
      <w:bookmarkStart w:id="0" w:name="_GoBack"/>
      <w:bookmarkEnd w:id="0"/>
      <w:r w:rsidR="00142E14">
        <w:rPr>
          <w:rFonts w:asciiTheme="majorBidi" w:hAnsiTheme="majorBidi" w:cstheme="majorBidi"/>
          <w:b/>
          <w:bCs/>
          <w:sz w:val="18"/>
          <w:szCs w:val="18"/>
        </w:rPr>
        <w:t>dans le noyau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par l’intervention des composants cellulaires REG, AG, Ribosomes, ARNm….</w:t>
      </w:r>
    </w:p>
    <w:p w:rsidR="002E4AAE" w:rsidRDefault="000C1B86" w:rsidP="00612546">
      <w:pPr>
        <w:pStyle w:val="Paragraphedeliste"/>
        <w:numPr>
          <w:ilvl w:val="1"/>
          <w:numId w:val="1"/>
        </w:numPr>
        <w:spacing w:after="0" w:line="240" w:lineRule="auto"/>
        <w:ind w:hanging="655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Étape</w:t>
      </w:r>
      <w:r w:rsidR="002E4AAE">
        <w:rPr>
          <w:rFonts w:asciiTheme="majorBidi" w:hAnsiTheme="majorBidi" w:cstheme="majorBidi"/>
          <w:b/>
          <w:bCs/>
          <w:sz w:val="18"/>
          <w:szCs w:val="18"/>
        </w:rPr>
        <w:t xml:space="preserve"> 6 : </w:t>
      </w:r>
      <w:r w:rsidR="00142E14">
        <w:rPr>
          <w:rFonts w:asciiTheme="majorBidi" w:hAnsiTheme="majorBidi" w:cstheme="majorBidi"/>
          <w:b/>
          <w:bCs/>
          <w:sz w:val="18"/>
          <w:szCs w:val="18"/>
        </w:rPr>
        <w:t xml:space="preserve">Maturation, assemblage et libération : </w:t>
      </w:r>
      <w:r>
        <w:rPr>
          <w:rFonts w:asciiTheme="majorBidi" w:hAnsiTheme="majorBidi" w:cstheme="majorBidi"/>
          <w:b/>
          <w:bCs/>
          <w:sz w:val="18"/>
          <w:szCs w:val="18"/>
        </w:rPr>
        <w:t>la sortie des nouveaux virions se fait par la lyse de la Mb cellulaire pour les virus nus, et par bourgeonnement pour les virus enveloppés.</w:t>
      </w:r>
    </w:p>
    <w:p w:rsidR="00612546" w:rsidRPr="000A4627" w:rsidRDefault="00612546" w:rsidP="00612546">
      <w:pPr>
        <w:pStyle w:val="Paragraphedeliste"/>
        <w:spacing w:after="0" w:line="240" w:lineRule="auto"/>
        <w:ind w:left="1364"/>
        <w:rPr>
          <w:rFonts w:asciiTheme="majorBidi" w:hAnsiTheme="majorBidi" w:cstheme="majorBidi"/>
          <w:b/>
          <w:bCs/>
          <w:sz w:val="18"/>
          <w:szCs w:val="18"/>
        </w:rPr>
      </w:pPr>
    </w:p>
    <w:p w:rsidR="00612546" w:rsidRDefault="00612546" w:rsidP="0061254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Les </w:t>
      </w:r>
      <w:r w:rsidR="006014C5">
        <w:rPr>
          <w:rFonts w:asciiTheme="majorBidi" w:hAnsiTheme="majorBidi" w:cstheme="majorBidi"/>
          <w:b/>
          <w:bCs/>
          <w:sz w:val="18"/>
          <w:szCs w:val="18"/>
        </w:rPr>
        <w:t>viroïdes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sont </w:t>
      </w:r>
      <w:r w:rsidR="00A00199">
        <w:rPr>
          <w:rFonts w:asciiTheme="majorBidi" w:hAnsiTheme="majorBidi" w:cstheme="majorBidi"/>
          <w:b/>
          <w:bCs/>
          <w:sz w:val="18"/>
          <w:szCs w:val="18"/>
        </w:rPr>
        <w:t>(3 critères</w:t>
      </w:r>
      <w:proofErr w:type="gramStart"/>
      <w:r w:rsidR="00A00199">
        <w:rPr>
          <w:rFonts w:asciiTheme="majorBidi" w:hAnsiTheme="majorBidi" w:cstheme="majorBidi"/>
          <w:b/>
          <w:bCs/>
          <w:sz w:val="18"/>
          <w:szCs w:val="18"/>
        </w:rPr>
        <w:t>)</w:t>
      </w:r>
      <w:r>
        <w:rPr>
          <w:rFonts w:asciiTheme="majorBidi" w:hAnsiTheme="majorBidi" w:cstheme="majorBidi"/>
          <w:b/>
          <w:bCs/>
          <w:sz w:val="18"/>
          <w:szCs w:val="18"/>
        </w:rPr>
        <w:t>:</w:t>
      </w:r>
      <w:proofErr w:type="gramEnd"/>
      <w:r w:rsidR="00AF62A7">
        <w:rPr>
          <w:rFonts w:asciiTheme="majorBidi" w:hAnsiTheme="majorBidi" w:cstheme="majorBidi"/>
          <w:b/>
          <w:bCs/>
          <w:sz w:val="18"/>
          <w:szCs w:val="18"/>
        </w:rPr>
        <w:t xml:space="preserve"> (0.5 x 3)</w:t>
      </w:r>
    </w:p>
    <w:p w:rsidR="006014C5" w:rsidRDefault="006014C5" w:rsidP="006014C5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a.</w:t>
      </w:r>
      <w:r w:rsidR="002222C7">
        <w:rPr>
          <w:rFonts w:asciiTheme="majorBidi" w:hAnsiTheme="majorBidi" w:cstheme="majorBidi"/>
          <w:b/>
          <w:bCs/>
          <w:sz w:val="18"/>
          <w:szCs w:val="18"/>
        </w:rPr>
        <w:t xml:space="preserve"> sont des </w:t>
      </w:r>
      <w:proofErr w:type="spellStart"/>
      <w:r w:rsidR="002222C7">
        <w:rPr>
          <w:rFonts w:asciiTheme="majorBidi" w:hAnsiTheme="majorBidi" w:cstheme="majorBidi"/>
          <w:b/>
          <w:bCs/>
          <w:sz w:val="18"/>
          <w:szCs w:val="18"/>
        </w:rPr>
        <w:t>ATNC</w:t>
      </w:r>
      <w:proofErr w:type="spellEnd"/>
      <w:r w:rsidR="00E70892">
        <w:rPr>
          <w:rFonts w:asciiTheme="majorBidi" w:hAnsiTheme="majorBidi" w:cstheme="majorBidi"/>
          <w:b/>
          <w:bCs/>
          <w:sz w:val="18"/>
          <w:szCs w:val="18"/>
        </w:rPr>
        <w:t xml:space="preserve">, responsables des maladies qui touchent les végétaux. </w:t>
      </w:r>
    </w:p>
    <w:p w:rsidR="006014C5" w:rsidRDefault="006014C5" w:rsidP="006014C5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b.</w:t>
      </w:r>
      <w:r w:rsidR="008A036C">
        <w:rPr>
          <w:rFonts w:asciiTheme="majorBidi" w:hAnsiTheme="majorBidi" w:cstheme="majorBidi"/>
          <w:b/>
          <w:bCs/>
          <w:sz w:val="18"/>
          <w:szCs w:val="18"/>
        </w:rPr>
        <w:t xml:space="preserve"> Particules virales non classées</w:t>
      </w:r>
    </w:p>
    <w:p w:rsidR="006014C5" w:rsidRDefault="006014C5" w:rsidP="006014C5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c.</w:t>
      </w:r>
      <w:r w:rsidR="008A036C">
        <w:rPr>
          <w:rFonts w:asciiTheme="majorBidi" w:hAnsiTheme="majorBidi" w:cstheme="majorBidi"/>
          <w:b/>
          <w:bCs/>
          <w:sz w:val="18"/>
          <w:szCs w:val="18"/>
        </w:rPr>
        <w:t xml:space="preserve"> ne sont pas considérés comme </w:t>
      </w:r>
      <w:r w:rsidR="005260A3">
        <w:rPr>
          <w:rFonts w:asciiTheme="majorBidi" w:hAnsiTheme="majorBidi" w:cstheme="majorBidi"/>
          <w:b/>
          <w:bCs/>
          <w:sz w:val="18"/>
          <w:szCs w:val="18"/>
        </w:rPr>
        <w:t xml:space="preserve">parasite, champignons ou bactéries composés d’un seul ARN circulaire sans capside et sans enveloppe. </w:t>
      </w:r>
    </w:p>
    <w:p w:rsidR="00612546" w:rsidRPr="00612546" w:rsidRDefault="00612546" w:rsidP="00612546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A00199" w:rsidRDefault="00A00199" w:rsidP="0061254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Les prions sont (3 critères) :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 xml:space="preserve"> (0.5 x 3)</w:t>
      </w:r>
    </w:p>
    <w:p w:rsidR="00A00199" w:rsidRDefault="00A00199" w:rsidP="005260A3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a.</w:t>
      </w:r>
      <w:r w:rsidR="005260A3">
        <w:rPr>
          <w:rFonts w:asciiTheme="majorBidi" w:hAnsiTheme="majorBidi" w:cstheme="majorBidi"/>
          <w:b/>
          <w:bCs/>
          <w:sz w:val="18"/>
          <w:szCs w:val="18"/>
        </w:rPr>
        <w:t xml:space="preserve"> Sont des agent </w:t>
      </w:r>
      <w:proofErr w:type="spellStart"/>
      <w:r w:rsidR="005260A3">
        <w:rPr>
          <w:rFonts w:asciiTheme="majorBidi" w:hAnsiTheme="majorBidi" w:cstheme="majorBidi"/>
          <w:b/>
          <w:bCs/>
          <w:sz w:val="18"/>
          <w:szCs w:val="18"/>
        </w:rPr>
        <w:t>ATNC</w:t>
      </w:r>
      <w:proofErr w:type="spellEnd"/>
      <w:r w:rsidR="00A67793">
        <w:rPr>
          <w:rFonts w:asciiTheme="majorBidi" w:hAnsiTheme="majorBidi" w:cstheme="majorBidi"/>
          <w:b/>
          <w:bCs/>
          <w:sz w:val="18"/>
          <w:szCs w:val="18"/>
        </w:rPr>
        <w:t xml:space="preserve"> sans matériel génétique </w:t>
      </w:r>
    </w:p>
    <w:p w:rsidR="00A00199" w:rsidRDefault="00A00199" w:rsidP="00A00199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b.</w:t>
      </w:r>
      <w:r w:rsidR="00A67793">
        <w:rPr>
          <w:rFonts w:asciiTheme="majorBidi" w:hAnsiTheme="majorBidi" w:cstheme="majorBidi"/>
          <w:b/>
          <w:bCs/>
          <w:sz w:val="18"/>
          <w:szCs w:val="18"/>
        </w:rPr>
        <w:t xml:space="preserve"> S</w:t>
      </w:r>
      <w:r w:rsidR="005260A3">
        <w:rPr>
          <w:rFonts w:asciiTheme="majorBidi" w:hAnsiTheme="majorBidi" w:cstheme="majorBidi"/>
          <w:b/>
          <w:bCs/>
          <w:sz w:val="18"/>
          <w:szCs w:val="18"/>
        </w:rPr>
        <w:t>ont des protéines sont</w:t>
      </w:r>
      <w:r w:rsidR="00A67793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EF3617">
        <w:rPr>
          <w:rFonts w:asciiTheme="majorBidi" w:hAnsiTheme="majorBidi" w:cstheme="majorBidi"/>
          <w:b/>
          <w:bCs/>
          <w:sz w:val="18"/>
          <w:szCs w:val="18"/>
        </w:rPr>
        <w:t xml:space="preserve">à l’origine des maladies </w:t>
      </w:r>
      <w:proofErr w:type="spellStart"/>
      <w:r w:rsidR="00EF3617">
        <w:rPr>
          <w:rFonts w:asciiTheme="majorBidi" w:hAnsiTheme="majorBidi" w:cstheme="majorBidi"/>
          <w:b/>
          <w:bCs/>
          <w:sz w:val="18"/>
          <w:szCs w:val="18"/>
        </w:rPr>
        <w:t>ESST</w:t>
      </w:r>
      <w:proofErr w:type="spellEnd"/>
      <w:r w:rsidR="00EF3617">
        <w:rPr>
          <w:rFonts w:asciiTheme="majorBidi" w:hAnsiTheme="majorBidi" w:cstheme="majorBidi"/>
          <w:b/>
          <w:bCs/>
          <w:sz w:val="18"/>
          <w:szCs w:val="18"/>
        </w:rPr>
        <w:t xml:space="preserve"> chez l’homme et l’animal</w:t>
      </w:r>
    </w:p>
    <w:p w:rsidR="00A00199" w:rsidRDefault="00A00199" w:rsidP="00A00199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c.</w:t>
      </w:r>
      <w:r w:rsidR="00EF3617">
        <w:rPr>
          <w:rFonts w:asciiTheme="majorBidi" w:hAnsiTheme="majorBidi" w:cstheme="majorBidi"/>
          <w:b/>
          <w:bCs/>
          <w:sz w:val="18"/>
          <w:szCs w:val="18"/>
        </w:rPr>
        <w:t xml:space="preserve"> Les </w:t>
      </w:r>
      <w:proofErr w:type="spellStart"/>
      <w:r w:rsidR="00EF3617">
        <w:rPr>
          <w:rFonts w:asciiTheme="majorBidi" w:hAnsiTheme="majorBidi" w:cstheme="majorBidi"/>
          <w:b/>
          <w:bCs/>
          <w:sz w:val="18"/>
          <w:szCs w:val="18"/>
        </w:rPr>
        <w:t>ESST</w:t>
      </w:r>
      <w:proofErr w:type="spellEnd"/>
      <w:r w:rsidR="00EF3617">
        <w:rPr>
          <w:rFonts w:asciiTheme="majorBidi" w:hAnsiTheme="majorBidi" w:cstheme="majorBidi"/>
          <w:b/>
          <w:bCs/>
          <w:sz w:val="18"/>
          <w:szCs w:val="18"/>
        </w:rPr>
        <w:t xml:space="preserve"> sont des maladies neurodégénératives </w:t>
      </w:r>
      <w:proofErr w:type="spellStart"/>
      <w:r w:rsidR="00EF3617">
        <w:rPr>
          <w:rFonts w:asciiTheme="majorBidi" w:hAnsiTheme="majorBidi" w:cstheme="majorBidi"/>
          <w:b/>
          <w:bCs/>
          <w:sz w:val="18"/>
          <w:szCs w:val="18"/>
        </w:rPr>
        <w:t>MND</w:t>
      </w:r>
      <w:proofErr w:type="spellEnd"/>
    </w:p>
    <w:p w:rsidR="00AC434E" w:rsidRDefault="00AC434E" w:rsidP="00AC434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Les causes des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ESST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(E</w:t>
      </w:r>
      <w:r w:rsidRPr="00AC434E">
        <w:rPr>
          <w:rFonts w:asciiTheme="majorBidi" w:hAnsiTheme="majorBidi" w:cstheme="majorBidi"/>
          <w:b/>
          <w:bCs/>
          <w:sz w:val="18"/>
          <w:szCs w:val="18"/>
        </w:rPr>
        <w:t>ncéphalopathies spongiformes subaigües transmissibles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) sont : </w:t>
      </w:r>
      <w:r w:rsidR="00AF62A7">
        <w:rPr>
          <w:rFonts w:asciiTheme="majorBidi" w:hAnsiTheme="majorBidi" w:cstheme="majorBidi"/>
          <w:b/>
          <w:bCs/>
          <w:sz w:val="18"/>
          <w:szCs w:val="18"/>
        </w:rPr>
        <w:t>(0.25 x 4)</w:t>
      </w:r>
    </w:p>
    <w:p w:rsidR="00AC434E" w:rsidRDefault="00AC434E" w:rsidP="00AC434E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a.</w:t>
      </w:r>
      <w:r w:rsidR="00EF361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8A4B32">
        <w:rPr>
          <w:rFonts w:asciiTheme="majorBidi" w:hAnsiTheme="majorBidi" w:cstheme="majorBidi"/>
          <w:b/>
          <w:bCs/>
          <w:sz w:val="18"/>
          <w:szCs w:val="18"/>
        </w:rPr>
        <w:t xml:space="preserve">Mort des neurones et libération de </w:t>
      </w:r>
      <w:proofErr w:type="spellStart"/>
      <w:r w:rsidR="008A4B32">
        <w:rPr>
          <w:rFonts w:asciiTheme="majorBidi" w:hAnsiTheme="majorBidi" w:cstheme="majorBidi"/>
          <w:b/>
          <w:bCs/>
          <w:sz w:val="18"/>
          <w:szCs w:val="18"/>
        </w:rPr>
        <w:t>PrPres</w:t>
      </w:r>
      <w:proofErr w:type="spellEnd"/>
    </w:p>
    <w:p w:rsidR="00AC434E" w:rsidRDefault="00AC434E" w:rsidP="00AC434E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b.</w:t>
      </w:r>
      <w:r w:rsidR="008A4B3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 w:rsidR="008A4B32">
        <w:rPr>
          <w:rFonts w:asciiTheme="majorBidi" w:hAnsiTheme="majorBidi" w:cstheme="majorBidi"/>
          <w:b/>
          <w:bCs/>
          <w:sz w:val="18"/>
          <w:szCs w:val="18"/>
        </w:rPr>
        <w:t>Spongiose</w:t>
      </w:r>
      <w:proofErr w:type="spellEnd"/>
      <w:r w:rsidR="008A4B32">
        <w:rPr>
          <w:rFonts w:asciiTheme="majorBidi" w:hAnsiTheme="majorBidi" w:cstheme="majorBidi"/>
          <w:b/>
          <w:bCs/>
          <w:sz w:val="18"/>
          <w:szCs w:val="18"/>
        </w:rPr>
        <w:t xml:space="preserve"> : vacuolisation neuronale </w:t>
      </w:r>
    </w:p>
    <w:p w:rsidR="00AC434E" w:rsidRDefault="00AC434E" w:rsidP="00AC434E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c.</w:t>
      </w:r>
      <w:r w:rsidR="008A4B3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 w:rsidR="008A4B32">
        <w:rPr>
          <w:rFonts w:asciiTheme="majorBidi" w:hAnsiTheme="majorBidi" w:cstheme="majorBidi"/>
          <w:b/>
          <w:bCs/>
          <w:sz w:val="18"/>
          <w:szCs w:val="18"/>
        </w:rPr>
        <w:t>Gliose</w:t>
      </w:r>
      <w:proofErr w:type="spellEnd"/>
      <w:r w:rsidR="008A4B3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AC434E" w:rsidRDefault="00AC434E" w:rsidP="00AC434E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d.</w:t>
      </w:r>
      <w:r w:rsidR="00D630B1">
        <w:rPr>
          <w:rFonts w:asciiTheme="majorBidi" w:hAnsiTheme="majorBidi" w:cstheme="majorBidi"/>
          <w:b/>
          <w:bCs/>
          <w:sz w:val="18"/>
          <w:szCs w:val="18"/>
        </w:rPr>
        <w:t xml:space="preserve"> A</w:t>
      </w:r>
      <w:r w:rsidR="008A4B32">
        <w:rPr>
          <w:rFonts w:asciiTheme="majorBidi" w:hAnsiTheme="majorBidi" w:cstheme="majorBidi"/>
          <w:b/>
          <w:bCs/>
          <w:sz w:val="18"/>
          <w:szCs w:val="18"/>
        </w:rPr>
        <w:t xml:space="preserve">ccumulation </w:t>
      </w:r>
      <w:r w:rsidR="00D630B1">
        <w:rPr>
          <w:rFonts w:asciiTheme="majorBidi" w:hAnsiTheme="majorBidi" w:cstheme="majorBidi"/>
          <w:b/>
          <w:bCs/>
          <w:sz w:val="18"/>
          <w:szCs w:val="18"/>
        </w:rPr>
        <w:t xml:space="preserve">d’une forme anormale de la </w:t>
      </w:r>
      <w:proofErr w:type="spellStart"/>
      <w:r w:rsidR="00D630B1">
        <w:rPr>
          <w:rFonts w:asciiTheme="majorBidi" w:hAnsiTheme="majorBidi" w:cstheme="majorBidi"/>
          <w:b/>
          <w:bCs/>
          <w:sz w:val="18"/>
          <w:szCs w:val="18"/>
        </w:rPr>
        <w:t>PrPc</w:t>
      </w:r>
      <w:proofErr w:type="spellEnd"/>
      <w:r w:rsidR="00D630B1">
        <w:rPr>
          <w:rFonts w:asciiTheme="majorBidi" w:hAnsiTheme="majorBidi" w:cstheme="majorBidi"/>
          <w:b/>
          <w:bCs/>
          <w:sz w:val="18"/>
          <w:szCs w:val="18"/>
        </w:rPr>
        <w:t xml:space="preserve"> de l’hôte dans le SNC sous forme de </w:t>
      </w:r>
      <w:proofErr w:type="spellStart"/>
      <w:r w:rsidR="00D630B1">
        <w:rPr>
          <w:rFonts w:asciiTheme="majorBidi" w:hAnsiTheme="majorBidi" w:cstheme="majorBidi"/>
          <w:b/>
          <w:bCs/>
          <w:sz w:val="18"/>
          <w:szCs w:val="18"/>
        </w:rPr>
        <w:t>PrPres</w:t>
      </w:r>
      <w:proofErr w:type="spellEnd"/>
      <w:r w:rsidR="00D630B1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061523" w:rsidRDefault="00061523" w:rsidP="00AC434E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</w:p>
    <w:p w:rsidR="00AF570F" w:rsidRDefault="00AF570F" w:rsidP="00AC434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Citer les différents types des virus géants : </w:t>
      </w:r>
      <w:r w:rsidR="00802BF7">
        <w:rPr>
          <w:rFonts w:asciiTheme="majorBidi" w:hAnsiTheme="majorBidi" w:cstheme="majorBidi"/>
          <w:b/>
          <w:bCs/>
          <w:sz w:val="18"/>
          <w:szCs w:val="18"/>
        </w:rPr>
        <w:t>(0.25 x 5)</w:t>
      </w:r>
    </w:p>
    <w:p w:rsidR="00EE22B1" w:rsidRDefault="00D630B1" w:rsidP="00C13EB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Mimivirus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</w:p>
    <w:p w:rsidR="00EE22B1" w:rsidRDefault="00D630B1" w:rsidP="00C13EB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Marseillevirus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</w:p>
    <w:p w:rsidR="00EE22B1" w:rsidRDefault="00EE22B1" w:rsidP="00C13EB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Phitovirus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sibericum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</w:p>
    <w:p w:rsidR="00EE22B1" w:rsidRDefault="00EE22B1" w:rsidP="00C13EB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Pandoravirus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salinus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dulcis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>,</w:t>
      </w:r>
    </w:p>
    <w:p w:rsidR="00AC434E" w:rsidRDefault="00EE22B1" w:rsidP="00C13EB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Megavirus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D630B1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061523" w:rsidRDefault="00061523" w:rsidP="00AC434E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</w:p>
    <w:p w:rsidR="00AF570F" w:rsidRDefault="00AF570F" w:rsidP="00AF570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Quels sont les facteurs </w:t>
      </w:r>
      <w:r w:rsidR="005278B0">
        <w:rPr>
          <w:rFonts w:asciiTheme="majorBidi" w:hAnsiTheme="majorBidi" w:cstheme="majorBidi"/>
          <w:b/>
          <w:bCs/>
          <w:sz w:val="18"/>
          <w:szCs w:val="18"/>
        </w:rPr>
        <w:t xml:space="preserve">favorisants l’émergence des maladies virales : </w:t>
      </w:r>
      <w:r w:rsidR="00802BF7">
        <w:rPr>
          <w:rFonts w:asciiTheme="majorBidi" w:hAnsiTheme="majorBidi" w:cstheme="majorBidi"/>
          <w:b/>
          <w:bCs/>
          <w:sz w:val="18"/>
          <w:szCs w:val="18"/>
        </w:rPr>
        <w:t>(0.25 x 5)</w:t>
      </w:r>
    </w:p>
    <w:p w:rsidR="005278B0" w:rsidRDefault="005278B0" w:rsidP="005278B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a.</w:t>
      </w:r>
      <w:r w:rsidR="00C13EBB">
        <w:rPr>
          <w:rFonts w:asciiTheme="majorBidi" w:hAnsiTheme="majorBidi" w:cstheme="majorBidi"/>
          <w:b/>
          <w:bCs/>
          <w:sz w:val="18"/>
          <w:szCs w:val="18"/>
        </w:rPr>
        <w:t xml:space="preserve"> Déforestation et le développement de l’agriculture </w:t>
      </w:r>
    </w:p>
    <w:p w:rsidR="005278B0" w:rsidRDefault="005278B0" w:rsidP="005278B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b.</w:t>
      </w:r>
      <w:r w:rsidR="00C13EBB">
        <w:rPr>
          <w:rFonts w:asciiTheme="majorBidi" w:hAnsiTheme="majorBidi" w:cstheme="majorBidi"/>
          <w:b/>
          <w:bCs/>
          <w:sz w:val="18"/>
          <w:szCs w:val="18"/>
        </w:rPr>
        <w:t xml:space="preserve"> Les guerres et l’effondrement du système de santé et le manque d’hygiène  </w:t>
      </w:r>
    </w:p>
    <w:p w:rsidR="005278B0" w:rsidRDefault="005278B0" w:rsidP="005278B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c.</w:t>
      </w:r>
      <w:r w:rsidR="00C13EBB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DC3800">
        <w:rPr>
          <w:rFonts w:asciiTheme="majorBidi" w:hAnsiTheme="majorBidi" w:cstheme="majorBidi"/>
          <w:b/>
          <w:bCs/>
          <w:sz w:val="18"/>
          <w:szCs w:val="18"/>
        </w:rPr>
        <w:t xml:space="preserve">Mondialisation et l’augmentation de la population </w:t>
      </w:r>
    </w:p>
    <w:p w:rsidR="005278B0" w:rsidRDefault="005278B0" w:rsidP="005278B0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d.</w:t>
      </w:r>
      <w:r w:rsidR="00DC3800">
        <w:rPr>
          <w:rFonts w:asciiTheme="majorBidi" w:hAnsiTheme="majorBidi" w:cstheme="majorBidi"/>
          <w:b/>
          <w:bCs/>
          <w:sz w:val="18"/>
          <w:szCs w:val="18"/>
        </w:rPr>
        <w:t xml:space="preserve"> Réchauffement climatique </w:t>
      </w:r>
    </w:p>
    <w:p w:rsidR="005278B0" w:rsidRDefault="005278B0" w:rsidP="003C068B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e.</w:t>
      </w:r>
      <w:r w:rsidR="00DC3800">
        <w:rPr>
          <w:rFonts w:asciiTheme="majorBidi" w:hAnsiTheme="majorBidi" w:cstheme="majorBidi"/>
          <w:b/>
          <w:bCs/>
          <w:sz w:val="18"/>
          <w:szCs w:val="18"/>
        </w:rPr>
        <w:t xml:space="preserve"> Mutation</w:t>
      </w:r>
      <w:r w:rsidR="003C068B">
        <w:rPr>
          <w:rFonts w:asciiTheme="majorBidi" w:hAnsiTheme="majorBidi" w:cstheme="majorBidi"/>
          <w:b/>
          <w:bCs/>
          <w:sz w:val="18"/>
          <w:szCs w:val="18"/>
        </w:rPr>
        <w:t>s</w:t>
      </w:r>
      <w:r w:rsidR="00DC3800">
        <w:rPr>
          <w:rFonts w:asciiTheme="majorBidi" w:hAnsiTheme="majorBidi" w:cstheme="majorBidi"/>
          <w:b/>
          <w:bCs/>
          <w:sz w:val="18"/>
          <w:szCs w:val="18"/>
        </w:rPr>
        <w:t xml:space="preserve"> des virus </w:t>
      </w:r>
    </w:p>
    <w:p w:rsidR="00061523" w:rsidRDefault="00061523" w:rsidP="005278B0">
      <w:pPr>
        <w:pStyle w:val="Paragraphedeliste"/>
        <w:spacing w:after="0" w:line="240" w:lineRule="auto"/>
        <w:ind w:left="644"/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061523" w:rsidRDefault="00061523" w:rsidP="005278B0">
      <w:pPr>
        <w:pStyle w:val="Paragraphedeliste"/>
        <w:spacing w:after="0" w:line="240" w:lineRule="auto"/>
        <w:ind w:left="644"/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2B6089" w:rsidRDefault="002B6089" w:rsidP="002B6089">
      <w:pPr>
        <w:pStyle w:val="Paragraphedeliste"/>
        <w:spacing w:after="0" w:line="240" w:lineRule="auto"/>
        <w:ind w:left="1004"/>
        <w:rPr>
          <w:rFonts w:asciiTheme="majorBidi" w:hAnsiTheme="majorBidi" w:cstheme="majorBidi"/>
          <w:b/>
          <w:bCs/>
          <w:sz w:val="18"/>
          <w:szCs w:val="18"/>
        </w:rPr>
      </w:pPr>
    </w:p>
    <w:p w:rsidR="00B57C7F" w:rsidRDefault="00B57C7F" w:rsidP="00AA3DB0"/>
    <w:sectPr w:rsidR="00B57C7F" w:rsidSect="00061523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5D1"/>
    <w:multiLevelType w:val="hybridMultilevel"/>
    <w:tmpl w:val="781EB07C"/>
    <w:lvl w:ilvl="0" w:tplc="8FE85E42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B31BC"/>
    <w:multiLevelType w:val="hybridMultilevel"/>
    <w:tmpl w:val="0F383A3C"/>
    <w:lvl w:ilvl="0" w:tplc="86DACAA8">
      <w:start w:val="1"/>
      <w:numFmt w:val="low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917BEA"/>
    <w:multiLevelType w:val="hybridMultilevel"/>
    <w:tmpl w:val="62BE8A56"/>
    <w:lvl w:ilvl="0" w:tplc="A67EA4B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5C0902"/>
    <w:multiLevelType w:val="hybridMultilevel"/>
    <w:tmpl w:val="DF82430E"/>
    <w:lvl w:ilvl="0" w:tplc="035E94C6">
      <w:start w:val="1"/>
      <w:numFmt w:val="low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1430E9"/>
    <w:multiLevelType w:val="hybridMultilevel"/>
    <w:tmpl w:val="2138AD56"/>
    <w:lvl w:ilvl="0" w:tplc="3F7A80BC">
      <w:start w:val="1"/>
      <w:numFmt w:val="low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121C71"/>
    <w:multiLevelType w:val="hybridMultilevel"/>
    <w:tmpl w:val="C66CCF5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38C23C9"/>
    <w:multiLevelType w:val="hybridMultilevel"/>
    <w:tmpl w:val="FD4C1048"/>
    <w:lvl w:ilvl="0" w:tplc="88989224">
      <w:start w:val="1"/>
      <w:numFmt w:val="low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1F7979"/>
    <w:multiLevelType w:val="hybridMultilevel"/>
    <w:tmpl w:val="8B722EF0"/>
    <w:lvl w:ilvl="0" w:tplc="728A73F2">
      <w:start w:val="1"/>
      <w:numFmt w:val="low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E40544"/>
    <w:multiLevelType w:val="hybridMultilevel"/>
    <w:tmpl w:val="4F361C14"/>
    <w:lvl w:ilvl="0" w:tplc="A8AC3DF6">
      <w:start w:val="1"/>
      <w:numFmt w:val="low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7428EE"/>
    <w:multiLevelType w:val="hybridMultilevel"/>
    <w:tmpl w:val="E9C4C7C4"/>
    <w:lvl w:ilvl="0" w:tplc="5CDE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2D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A7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2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C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6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8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2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9C3AFA"/>
    <w:multiLevelType w:val="hybridMultilevel"/>
    <w:tmpl w:val="F5B4B84E"/>
    <w:lvl w:ilvl="0" w:tplc="26F4BFA8">
      <w:start w:val="1"/>
      <w:numFmt w:val="lowerLetter"/>
      <w:lvlText w:val="%1."/>
      <w:lvlJc w:val="left"/>
      <w:pPr>
        <w:ind w:left="1004" w:hanging="360"/>
      </w:pPr>
      <w:rPr>
        <w:rFonts w:asciiTheme="majorBidi" w:hAnsiTheme="majorBidi" w:cstheme="majorBidi" w:hint="default"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7E5"/>
    <w:rsid w:val="000110F7"/>
    <w:rsid w:val="00015C9B"/>
    <w:rsid w:val="00061523"/>
    <w:rsid w:val="00076575"/>
    <w:rsid w:val="000A4627"/>
    <w:rsid w:val="000C1B86"/>
    <w:rsid w:val="00120DED"/>
    <w:rsid w:val="00142E14"/>
    <w:rsid w:val="0015199E"/>
    <w:rsid w:val="001B6F00"/>
    <w:rsid w:val="001F00F8"/>
    <w:rsid w:val="002222C7"/>
    <w:rsid w:val="00230508"/>
    <w:rsid w:val="0027726B"/>
    <w:rsid w:val="002845D3"/>
    <w:rsid w:val="002B00FC"/>
    <w:rsid w:val="002B6089"/>
    <w:rsid w:val="002B7140"/>
    <w:rsid w:val="002E4AAE"/>
    <w:rsid w:val="00393BA5"/>
    <w:rsid w:val="003C068B"/>
    <w:rsid w:val="003D72F7"/>
    <w:rsid w:val="004118D7"/>
    <w:rsid w:val="00452737"/>
    <w:rsid w:val="004E07E5"/>
    <w:rsid w:val="004E16A9"/>
    <w:rsid w:val="005260A3"/>
    <w:rsid w:val="005278B0"/>
    <w:rsid w:val="00553323"/>
    <w:rsid w:val="006014C5"/>
    <w:rsid w:val="00612546"/>
    <w:rsid w:val="00627F70"/>
    <w:rsid w:val="00671904"/>
    <w:rsid w:val="0074410F"/>
    <w:rsid w:val="008014D9"/>
    <w:rsid w:val="00802BF7"/>
    <w:rsid w:val="008630F8"/>
    <w:rsid w:val="008A036C"/>
    <w:rsid w:val="008A4B32"/>
    <w:rsid w:val="00902BEA"/>
    <w:rsid w:val="009866BB"/>
    <w:rsid w:val="00A00199"/>
    <w:rsid w:val="00A27F34"/>
    <w:rsid w:val="00A37353"/>
    <w:rsid w:val="00A67793"/>
    <w:rsid w:val="00AA3DB0"/>
    <w:rsid w:val="00AC434E"/>
    <w:rsid w:val="00AF570F"/>
    <w:rsid w:val="00AF62A7"/>
    <w:rsid w:val="00B57C7F"/>
    <w:rsid w:val="00B74E5F"/>
    <w:rsid w:val="00B97D80"/>
    <w:rsid w:val="00BB02EB"/>
    <w:rsid w:val="00BB4E69"/>
    <w:rsid w:val="00BF2D1F"/>
    <w:rsid w:val="00C13EBB"/>
    <w:rsid w:val="00C24FF2"/>
    <w:rsid w:val="00C52654"/>
    <w:rsid w:val="00C945D3"/>
    <w:rsid w:val="00D46A9C"/>
    <w:rsid w:val="00D630B1"/>
    <w:rsid w:val="00D82A6F"/>
    <w:rsid w:val="00DB5608"/>
    <w:rsid w:val="00DC3800"/>
    <w:rsid w:val="00DE5FA7"/>
    <w:rsid w:val="00DF6B4A"/>
    <w:rsid w:val="00E04ADA"/>
    <w:rsid w:val="00E70892"/>
    <w:rsid w:val="00E827F2"/>
    <w:rsid w:val="00EC44D3"/>
    <w:rsid w:val="00EE22B1"/>
    <w:rsid w:val="00EF3617"/>
    <w:rsid w:val="00F12970"/>
    <w:rsid w:val="00F442CE"/>
    <w:rsid w:val="00F7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94E8"/>
  <w15:chartTrackingRefBased/>
  <w15:docId w15:val="{180BC4E9-47EF-4760-9464-BC56256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B0"/>
    <w:pPr>
      <w:spacing w:before="0" w:after="160" w:line="256" w:lineRule="auto"/>
      <w:ind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3DB0"/>
    <w:pPr>
      <w:spacing w:before="0" w:after="0" w:line="240" w:lineRule="auto"/>
      <w:ind w:firstLine="0"/>
      <w:jc w:val="left"/>
    </w:pPr>
  </w:style>
  <w:style w:type="paragraph" w:styleId="Paragraphedeliste">
    <w:name w:val="List Paragraph"/>
    <w:basedOn w:val="Normal"/>
    <w:uiPriority w:val="34"/>
    <w:qFormat/>
    <w:rsid w:val="00AA3D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3DB0"/>
    <w:pPr>
      <w:spacing w:before="0" w:after="0"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glossaire">
    <w:name w:val="lienglossaire"/>
    <w:basedOn w:val="Policepardfaut"/>
    <w:rsid w:val="00076575"/>
  </w:style>
  <w:style w:type="character" w:styleId="Lienhypertexte">
    <w:name w:val="Hyperlink"/>
    <w:basedOn w:val="Policepardfaut"/>
    <w:uiPriority w:val="99"/>
    <w:semiHidden/>
    <w:unhideWhenUsed/>
    <w:rsid w:val="0007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Belkhar</dc:creator>
  <cp:keywords/>
  <dc:description/>
  <cp:lastModifiedBy>Belkhar</cp:lastModifiedBy>
  <cp:revision>4</cp:revision>
  <dcterms:created xsi:type="dcterms:W3CDTF">2024-01-14T21:03:00Z</dcterms:created>
  <dcterms:modified xsi:type="dcterms:W3CDTF">2024-01-24T21:37:00Z</dcterms:modified>
</cp:coreProperties>
</file>